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610FB" w14:textId="77777777" w:rsidR="007070AB" w:rsidRDefault="006A0459">
      <w:pPr>
        <w:pStyle w:val="Title"/>
      </w:pPr>
      <w:r>
        <w:t>Influence of over-size particles on the Atterberg limits of sand-clay mixtures</w:t>
      </w:r>
    </w:p>
    <w:p w14:paraId="4F527046" w14:textId="77777777" w:rsidR="007070AB" w:rsidRDefault="006A0459">
      <w:pPr>
        <w:pStyle w:val="Date"/>
      </w:pPr>
      <w:r>
        <w:t>last compiled Wed. 2021-10-13, 7:39 AM</w:t>
      </w:r>
    </w:p>
    <w:sdt>
      <w:sdtPr>
        <w:rPr>
          <w:rFonts w:asciiTheme="minorHAnsi" w:eastAsiaTheme="minorHAnsi" w:hAnsiTheme="minorHAnsi" w:cstheme="minorBidi"/>
          <w:color w:val="auto"/>
          <w:sz w:val="24"/>
          <w:szCs w:val="24"/>
        </w:rPr>
        <w:id w:val="154783744"/>
        <w:docPartObj>
          <w:docPartGallery w:val="Table of Contents"/>
          <w:docPartUnique/>
        </w:docPartObj>
      </w:sdtPr>
      <w:sdtEndPr/>
      <w:sdtContent>
        <w:p w14:paraId="22E0FC93" w14:textId="77777777" w:rsidR="007070AB" w:rsidRDefault="006A0459">
          <w:pPr>
            <w:pStyle w:val="TOCHeading"/>
          </w:pPr>
          <w:r>
            <w:t>Table of Contents</w:t>
          </w:r>
        </w:p>
        <w:p w14:paraId="0CB8336C" w14:textId="7CD8CFB8" w:rsidR="006A0459" w:rsidRDefault="006A0459">
          <w:pPr>
            <w:pStyle w:val="TOC1"/>
            <w:rPr>
              <w:rFonts w:asciiTheme="minorHAnsi" w:eastAsiaTheme="minorEastAsia" w:hAnsiTheme="minorHAnsi"/>
              <w:color w:val="auto"/>
              <w:szCs w:val="22"/>
              <w:lang w:eastAsia="ja-JP"/>
            </w:rPr>
          </w:pPr>
          <w:r>
            <w:fldChar w:fldCharType="begin"/>
          </w:r>
          <w:r>
            <w:instrText>TOC \o "1-3" \h \z \u</w:instrText>
          </w:r>
          <w:r>
            <w:fldChar w:fldCharType="separate"/>
          </w:r>
          <w:hyperlink w:anchor="_Toc84992819" w:history="1">
            <w:r w:rsidRPr="004844BF">
              <w:rPr>
                <w:rStyle w:val="Hyperlink"/>
              </w:rPr>
              <w:t>Abstract</w:t>
            </w:r>
            <w:r>
              <w:rPr>
                <w:webHidden/>
              </w:rPr>
              <w:tab/>
            </w:r>
            <w:r>
              <w:rPr>
                <w:webHidden/>
              </w:rPr>
              <w:fldChar w:fldCharType="begin"/>
            </w:r>
            <w:r>
              <w:rPr>
                <w:webHidden/>
              </w:rPr>
              <w:instrText xml:space="preserve"> PAGEREF _Toc84992819 \h </w:instrText>
            </w:r>
            <w:r>
              <w:rPr>
                <w:webHidden/>
              </w:rPr>
            </w:r>
            <w:r>
              <w:rPr>
                <w:webHidden/>
              </w:rPr>
              <w:fldChar w:fldCharType="separate"/>
            </w:r>
            <w:r>
              <w:rPr>
                <w:webHidden/>
              </w:rPr>
              <w:t>1</w:t>
            </w:r>
            <w:r>
              <w:rPr>
                <w:webHidden/>
              </w:rPr>
              <w:fldChar w:fldCharType="end"/>
            </w:r>
          </w:hyperlink>
        </w:p>
        <w:p w14:paraId="11995E53" w14:textId="6EACFDA2" w:rsidR="006A0459" w:rsidRDefault="006A0459">
          <w:pPr>
            <w:pStyle w:val="TOC1"/>
            <w:rPr>
              <w:rFonts w:asciiTheme="minorHAnsi" w:eastAsiaTheme="minorEastAsia" w:hAnsiTheme="minorHAnsi"/>
              <w:color w:val="auto"/>
              <w:szCs w:val="22"/>
              <w:lang w:eastAsia="ja-JP"/>
            </w:rPr>
          </w:pPr>
          <w:hyperlink w:anchor="_Toc84992820" w:history="1">
            <w:r w:rsidRPr="004844BF">
              <w:rPr>
                <w:rStyle w:val="Hyperlink"/>
              </w:rPr>
              <w:t>Introduction</w:t>
            </w:r>
            <w:r>
              <w:rPr>
                <w:webHidden/>
              </w:rPr>
              <w:tab/>
            </w:r>
            <w:r>
              <w:rPr>
                <w:webHidden/>
              </w:rPr>
              <w:fldChar w:fldCharType="begin"/>
            </w:r>
            <w:r>
              <w:rPr>
                <w:webHidden/>
              </w:rPr>
              <w:instrText xml:space="preserve"> PAGEREF _Toc84992820 \h </w:instrText>
            </w:r>
            <w:r>
              <w:rPr>
                <w:webHidden/>
              </w:rPr>
            </w:r>
            <w:r>
              <w:rPr>
                <w:webHidden/>
              </w:rPr>
              <w:fldChar w:fldCharType="separate"/>
            </w:r>
            <w:r>
              <w:rPr>
                <w:webHidden/>
              </w:rPr>
              <w:t>3</w:t>
            </w:r>
            <w:r>
              <w:rPr>
                <w:webHidden/>
              </w:rPr>
              <w:fldChar w:fldCharType="end"/>
            </w:r>
          </w:hyperlink>
        </w:p>
        <w:p w14:paraId="43C45072" w14:textId="657EDE3E" w:rsidR="006A0459" w:rsidRDefault="006A0459">
          <w:pPr>
            <w:pStyle w:val="TOC2"/>
            <w:rPr>
              <w:rFonts w:asciiTheme="minorHAnsi" w:eastAsiaTheme="minorEastAsia" w:hAnsiTheme="minorHAnsi"/>
              <w:sz w:val="22"/>
              <w:szCs w:val="22"/>
              <w:lang w:eastAsia="ja-JP"/>
            </w:rPr>
          </w:pPr>
          <w:hyperlink w:anchor="_Toc84992821" w:history="1">
            <w:r w:rsidRPr="004844BF">
              <w:rPr>
                <w:rStyle w:val="Hyperlink"/>
              </w:rPr>
              <w:t>Historical definitions of soil behavior thresholds</w:t>
            </w:r>
            <w:r>
              <w:rPr>
                <w:webHidden/>
              </w:rPr>
              <w:tab/>
            </w:r>
            <w:r>
              <w:rPr>
                <w:webHidden/>
              </w:rPr>
              <w:fldChar w:fldCharType="begin"/>
            </w:r>
            <w:r>
              <w:rPr>
                <w:webHidden/>
              </w:rPr>
              <w:instrText xml:space="preserve"> PAGEREF _Toc84992821 \h </w:instrText>
            </w:r>
            <w:r>
              <w:rPr>
                <w:webHidden/>
              </w:rPr>
            </w:r>
            <w:r>
              <w:rPr>
                <w:webHidden/>
              </w:rPr>
              <w:fldChar w:fldCharType="separate"/>
            </w:r>
            <w:r>
              <w:rPr>
                <w:webHidden/>
              </w:rPr>
              <w:t>4</w:t>
            </w:r>
            <w:r>
              <w:rPr>
                <w:webHidden/>
              </w:rPr>
              <w:fldChar w:fldCharType="end"/>
            </w:r>
          </w:hyperlink>
        </w:p>
        <w:p w14:paraId="5D4F0B64" w14:textId="0EC4084D" w:rsidR="006A0459" w:rsidRDefault="006A0459">
          <w:pPr>
            <w:pStyle w:val="TOC2"/>
            <w:rPr>
              <w:rFonts w:asciiTheme="minorHAnsi" w:eastAsiaTheme="minorEastAsia" w:hAnsiTheme="minorHAnsi"/>
              <w:sz w:val="22"/>
              <w:szCs w:val="22"/>
              <w:lang w:eastAsia="ja-JP"/>
            </w:rPr>
          </w:pPr>
          <w:hyperlink w:anchor="_Toc84992822" w:history="1">
            <w:r w:rsidRPr="004844BF">
              <w:rPr>
                <w:rStyle w:val="Hyperlink"/>
              </w:rPr>
              <w:t>Oversize particle removal in plasticity tests</w:t>
            </w:r>
            <w:r>
              <w:rPr>
                <w:webHidden/>
              </w:rPr>
              <w:tab/>
            </w:r>
            <w:r>
              <w:rPr>
                <w:webHidden/>
              </w:rPr>
              <w:fldChar w:fldCharType="begin"/>
            </w:r>
            <w:r>
              <w:rPr>
                <w:webHidden/>
              </w:rPr>
              <w:instrText xml:space="preserve"> PAGEREF _Toc84992822 \h </w:instrText>
            </w:r>
            <w:r>
              <w:rPr>
                <w:webHidden/>
              </w:rPr>
            </w:r>
            <w:r>
              <w:rPr>
                <w:webHidden/>
              </w:rPr>
              <w:fldChar w:fldCharType="separate"/>
            </w:r>
            <w:r>
              <w:rPr>
                <w:webHidden/>
              </w:rPr>
              <w:t>5</w:t>
            </w:r>
            <w:r>
              <w:rPr>
                <w:webHidden/>
              </w:rPr>
              <w:fldChar w:fldCharType="end"/>
            </w:r>
          </w:hyperlink>
        </w:p>
        <w:p w14:paraId="3C74DD56" w14:textId="776C43BD" w:rsidR="006A0459" w:rsidRDefault="006A0459">
          <w:pPr>
            <w:pStyle w:val="TOC2"/>
            <w:rPr>
              <w:rFonts w:asciiTheme="minorHAnsi" w:eastAsiaTheme="minorEastAsia" w:hAnsiTheme="minorHAnsi"/>
              <w:sz w:val="22"/>
              <w:szCs w:val="22"/>
              <w:lang w:eastAsia="ja-JP"/>
            </w:rPr>
          </w:pPr>
          <w:hyperlink w:anchor="_Toc84992823" w:history="1">
            <w:r w:rsidRPr="004844BF">
              <w:rPr>
                <w:rStyle w:val="Hyperlink"/>
              </w:rPr>
              <w:t>Potential utility of Atterberg limits for baseball infield soils</w:t>
            </w:r>
            <w:r>
              <w:rPr>
                <w:webHidden/>
              </w:rPr>
              <w:tab/>
            </w:r>
            <w:r>
              <w:rPr>
                <w:webHidden/>
              </w:rPr>
              <w:fldChar w:fldCharType="begin"/>
            </w:r>
            <w:r>
              <w:rPr>
                <w:webHidden/>
              </w:rPr>
              <w:instrText xml:space="preserve"> PAGEREF _Toc84992823 \h </w:instrText>
            </w:r>
            <w:r>
              <w:rPr>
                <w:webHidden/>
              </w:rPr>
            </w:r>
            <w:r>
              <w:rPr>
                <w:webHidden/>
              </w:rPr>
              <w:fldChar w:fldCharType="separate"/>
            </w:r>
            <w:r>
              <w:rPr>
                <w:webHidden/>
              </w:rPr>
              <w:t>5</w:t>
            </w:r>
            <w:r>
              <w:rPr>
                <w:webHidden/>
              </w:rPr>
              <w:fldChar w:fldCharType="end"/>
            </w:r>
          </w:hyperlink>
        </w:p>
        <w:p w14:paraId="6A5BF632" w14:textId="02E4445B" w:rsidR="006A0459" w:rsidRDefault="006A0459">
          <w:pPr>
            <w:pStyle w:val="TOC2"/>
            <w:rPr>
              <w:rFonts w:asciiTheme="minorHAnsi" w:eastAsiaTheme="minorEastAsia" w:hAnsiTheme="minorHAnsi"/>
              <w:sz w:val="22"/>
              <w:szCs w:val="22"/>
              <w:lang w:eastAsia="ja-JP"/>
            </w:rPr>
          </w:pPr>
          <w:hyperlink w:anchor="_Toc84992824" w:history="1">
            <w:r w:rsidRPr="004844BF">
              <w:rPr>
                <w:rStyle w:val="Hyperlink"/>
              </w:rPr>
              <w:t>Previous research on coarse fraction influence on Atterberg limits</w:t>
            </w:r>
            <w:r>
              <w:rPr>
                <w:webHidden/>
              </w:rPr>
              <w:tab/>
            </w:r>
            <w:r>
              <w:rPr>
                <w:webHidden/>
              </w:rPr>
              <w:fldChar w:fldCharType="begin"/>
            </w:r>
            <w:r>
              <w:rPr>
                <w:webHidden/>
              </w:rPr>
              <w:instrText xml:space="preserve"> PAGEREF _Toc84992824 \h </w:instrText>
            </w:r>
            <w:r>
              <w:rPr>
                <w:webHidden/>
              </w:rPr>
            </w:r>
            <w:r>
              <w:rPr>
                <w:webHidden/>
              </w:rPr>
              <w:fldChar w:fldCharType="separate"/>
            </w:r>
            <w:r>
              <w:rPr>
                <w:webHidden/>
              </w:rPr>
              <w:t>6</w:t>
            </w:r>
            <w:r>
              <w:rPr>
                <w:webHidden/>
              </w:rPr>
              <w:fldChar w:fldCharType="end"/>
            </w:r>
          </w:hyperlink>
        </w:p>
        <w:p w14:paraId="6500C0B7" w14:textId="58BD78C8" w:rsidR="006A0459" w:rsidRDefault="006A0459">
          <w:pPr>
            <w:pStyle w:val="TOC3"/>
            <w:tabs>
              <w:tab w:val="right" w:leader="dot" w:pos="9350"/>
            </w:tabs>
            <w:rPr>
              <w:rFonts w:eastAsiaTheme="minorEastAsia"/>
              <w:noProof/>
              <w:sz w:val="22"/>
              <w:szCs w:val="22"/>
              <w:lang w:eastAsia="ja-JP"/>
            </w:rPr>
          </w:pPr>
          <w:hyperlink w:anchor="_Toc84992825" w:history="1">
            <w:r w:rsidRPr="004844BF">
              <w:rPr>
                <w:rStyle w:val="Hyperlink"/>
                <w:noProof/>
              </w:rPr>
              <w:t>Effect of coarse fraction particle size</w:t>
            </w:r>
            <w:r>
              <w:rPr>
                <w:noProof/>
                <w:webHidden/>
              </w:rPr>
              <w:tab/>
            </w:r>
            <w:r>
              <w:rPr>
                <w:noProof/>
                <w:webHidden/>
              </w:rPr>
              <w:fldChar w:fldCharType="begin"/>
            </w:r>
            <w:r>
              <w:rPr>
                <w:noProof/>
                <w:webHidden/>
              </w:rPr>
              <w:instrText xml:space="preserve"> PAGEREF _Toc84992825 \h </w:instrText>
            </w:r>
            <w:r>
              <w:rPr>
                <w:noProof/>
                <w:webHidden/>
              </w:rPr>
            </w:r>
            <w:r>
              <w:rPr>
                <w:noProof/>
                <w:webHidden/>
              </w:rPr>
              <w:fldChar w:fldCharType="separate"/>
            </w:r>
            <w:r>
              <w:rPr>
                <w:noProof/>
                <w:webHidden/>
              </w:rPr>
              <w:t>6</w:t>
            </w:r>
            <w:r>
              <w:rPr>
                <w:noProof/>
                <w:webHidden/>
              </w:rPr>
              <w:fldChar w:fldCharType="end"/>
            </w:r>
          </w:hyperlink>
        </w:p>
        <w:p w14:paraId="68EE238A" w14:textId="0DAE8308" w:rsidR="006A0459" w:rsidRDefault="006A0459">
          <w:pPr>
            <w:pStyle w:val="TOC3"/>
            <w:tabs>
              <w:tab w:val="right" w:leader="dot" w:pos="9350"/>
            </w:tabs>
            <w:rPr>
              <w:rFonts w:eastAsiaTheme="minorEastAsia"/>
              <w:noProof/>
              <w:sz w:val="22"/>
              <w:szCs w:val="22"/>
              <w:lang w:eastAsia="ja-JP"/>
            </w:rPr>
          </w:pPr>
          <w:hyperlink w:anchor="_Toc84992826" w:history="1">
            <w:r w:rsidRPr="004844BF">
              <w:rPr>
                <w:rStyle w:val="Hyperlink"/>
                <w:noProof/>
              </w:rPr>
              <w:t>Effect of coarse fraction particle shape</w:t>
            </w:r>
            <w:r>
              <w:rPr>
                <w:noProof/>
                <w:webHidden/>
              </w:rPr>
              <w:tab/>
            </w:r>
            <w:r>
              <w:rPr>
                <w:noProof/>
                <w:webHidden/>
              </w:rPr>
              <w:fldChar w:fldCharType="begin"/>
            </w:r>
            <w:r>
              <w:rPr>
                <w:noProof/>
                <w:webHidden/>
              </w:rPr>
              <w:instrText xml:space="preserve"> PAGEREF _Toc84992826 \h </w:instrText>
            </w:r>
            <w:r>
              <w:rPr>
                <w:noProof/>
                <w:webHidden/>
              </w:rPr>
            </w:r>
            <w:r>
              <w:rPr>
                <w:noProof/>
                <w:webHidden/>
              </w:rPr>
              <w:fldChar w:fldCharType="separate"/>
            </w:r>
            <w:r>
              <w:rPr>
                <w:noProof/>
                <w:webHidden/>
              </w:rPr>
              <w:t>7</w:t>
            </w:r>
            <w:r>
              <w:rPr>
                <w:noProof/>
                <w:webHidden/>
              </w:rPr>
              <w:fldChar w:fldCharType="end"/>
            </w:r>
          </w:hyperlink>
        </w:p>
        <w:p w14:paraId="12D65707" w14:textId="3B81E1DC" w:rsidR="006A0459" w:rsidRDefault="006A0459">
          <w:pPr>
            <w:pStyle w:val="TOC3"/>
            <w:tabs>
              <w:tab w:val="right" w:leader="dot" w:pos="9350"/>
            </w:tabs>
            <w:rPr>
              <w:rFonts w:eastAsiaTheme="minorEastAsia"/>
              <w:noProof/>
              <w:sz w:val="22"/>
              <w:szCs w:val="22"/>
              <w:lang w:eastAsia="ja-JP"/>
            </w:rPr>
          </w:pPr>
          <w:hyperlink w:anchor="_Toc84992827" w:history="1">
            <w:r w:rsidRPr="004844BF">
              <w:rPr>
                <w:rStyle w:val="Hyperlink"/>
                <w:noProof/>
              </w:rPr>
              <w:t>Effect of the coarse fraction’s particle-size uniformity</w:t>
            </w:r>
            <w:r>
              <w:rPr>
                <w:noProof/>
                <w:webHidden/>
              </w:rPr>
              <w:tab/>
            </w:r>
            <w:r>
              <w:rPr>
                <w:noProof/>
                <w:webHidden/>
              </w:rPr>
              <w:fldChar w:fldCharType="begin"/>
            </w:r>
            <w:r>
              <w:rPr>
                <w:noProof/>
                <w:webHidden/>
              </w:rPr>
              <w:instrText xml:space="preserve"> PAGEREF _Toc84992827 \h </w:instrText>
            </w:r>
            <w:r>
              <w:rPr>
                <w:noProof/>
                <w:webHidden/>
              </w:rPr>
            </w:r>
            <w:r>
              <w:rPr>
                <w:noProof/>
                <w:webHidden/>
              </w:rPr>
              <w:fldChar w:fldCharType="separate"/>
            </w:r>
            <w:r>
              <w:rPr>
                <w:noProof/>
                <w:webHidden/>
              </w:rPr>
              <w:t>7</w:t>
            </w:r>
            <w:r>
              <w:rPr>
                <w:noProof/>
                <w:webHidden/>
              </w:rPr>
              <w:fldChar w:fldCharType="end"/>
            </w:r>
          </w:hyperlink>
        </w:p>
        <w:p w14:paraId="43D55E9E" w14:textId="756F0032" w:rsidR="006A0459" w:rsidRDefault="006A0459">
          <w:pPr>
            <w:pStyle w:val="TOC2"/>
            <w:rPr>
              <w:rFonts w:asciiTheme="minorHAnsi" w:eastAsiaTheme="minorEastAsia" w:hAnsiTheme="minorHAnsi"/>
              <w:sz w:val="22"/>
              <w:szCs w:val="22"/>
              <w:lang w:eastAsia="ja-JP"/>
            </w:rPr>
          </w:pPr>
          <w:hyperlink w:anchor="_Toc84992828" w:history="1">
            <w:r w:rsidRPr="004844BF">
              <w:rPr>
                <w:rStyle w:val="Hyperlink"/>
              </w:rPr>
              <w:t>Objectives</w:t>
            </w:r>
            <w:r>
              <w:rPr>
                <w:webHidden/>
              </w:rPr>
              <w:tab/>
            </w:r>
            <w:r>
              <w:rPr>
                <w:webHidden/>
              </w:rPr>
              <w:fldChar w:fldCharType="begin"/>
            </w:r>
            <w:r>
              <w:rPr>
                <w:webHidden/>
              </w:rPr>
              <w:instrText xml:space="preserve"> PAGEREF _Toc84992828 \h </w:instrText>
            </w:r>
            <w:r>
              <w:rPr>
                <w:webHidden/>
              </w:rPr>
            </w:r>
            <w:r>
              <w:rPr>
                <w:webHidden/>
              </w:rPr>
              <w:fldChar w:fldCharType="separate"/>
            </w:r>
            <w:r>
              <w:rPr>
                <w:webHidden/>
              </w:rPr>
              <w:t>8</w:t>
            </w:r>
            <w:r>
              <w:rPr>
                <w:webHidden/>
              </w:rPr>
              <w:fldChar w:fldCharType="end"/>
            </w:r>
          </w:hyperlink>
        </w:p>
        <w:p w14:paraId="6B9B9A47" w14:textId="15BD9CF4" w:rsidR="006A0459" w:rsidRDefault="006A0459">
          <w:pPr>
            <w:pStyle w:val="TOC1"/>
            <w:rPr>
              <w:rFonts w:asciiTheme="minorHAnsi" w:eastAsiaTheme="minorEastAsia" w:hAnsiTheme="minorHAnsi"/>
              <w:color w:val="auto"/>
              <w:szCs w:val="22"/>
              <w:lang w:eastAsia="ja-JP"/>
            </w:rPr>
          </w:pPr>
          <w:hyperlink w:anchor="_Toc84992829" w:history="1">
            <w:r w:rsidRPr="004844BF">
              <w:rPr>
                <w:rStyle w:val="Hyperlink"/>
              </w:rPr>
              <w:t>Materials and methods</w:t>
            </w:r>
            <w:r>
              <w:rPr>
                <w:webHidden/>
              </w:rPr>
              <w:tab/>
            </w:r>
            <w:r>
              <w:rPr>
                <w:webHidden/>
              </w:rPr>
              <w:fldChar w:fldCharType="begin"/>
            </w:r>
            <w:r>
              <w:rPr>
                <w:webHidden/>
              </w:rPr>
              <w:instrText xml:space="preserve"> PAGEREF _Toc84992829 \h </w:instrText>
            </w:r>
            <w:r>
              <w:rPr>
                <w:webHidden/>
              </w:rPr>
            </w:r>
            <w:r>
              <w:rPr>
                <w:webHidden/>
              </w:rPr>
              <w:fldChar w:fldCharType="separate"/>
            </w:r>
            <w:r>
              <w:rPr>
                <w:webHidden/>
              </w:rPr>
              <w:t>8</w:t>
            </w:r>
            <w:r>
              <w:rPr>
                <w:webHidden/>
              </w:rPr>
              <w:fldChar w:fldCharType="end"/>
            </w:r>
          </w:hyperlink>
        </w:p>
        <w:p w14:paraId="4B7A8F8D" w14:textId="47989193" w:rsidR="006A0459" w:rsidRDefault="006A0459">
          <w:pPr>
            <w:pStyle w:val="TOC2"/>
            <w:rPr>
              <w:rFonts w:asciiTheme="minorHAnsi" w:eastAsiaTheme="minorEastAsia" w:hAnsiTheme="minorHAnsi"/>
              <w:sz w:val="22"/>
              <w:szCs w:val="22"/>
              <w:lang w:eastAsia="ja-JP"/>
            </w:rPr>
          </w:pPr>
          <w:hyperlink w:anchor="_Toc84992830" w:history="1">
            <w:r w:rsidRPr="004844BF">
              <w:rPr>
                <w:rStyle w:val="Hyperlink"/>
              </w:rPr>
              <w:t>Experiment 1 mixture components</w:t>
            </w:r>
            <w:r>
              <w:rPr>
                <w:webHidden/>
              </w:rPr>
              <w:tab/>
            </w:r>
            <w:r>
              <w:rPr>
                <w:webHidden/>
              </w:rPr>
              <w:fldChar w:fldCharType="begin"/>
            </w:r>
            <w:r>
              <w:rPr>
                <w:webHidden/>
              </w:rPr>
              <w:instrText xml:space="preserve"> PAGEREF _Toc84992830 \h </w:instrText>
            </w:r>
            <w:r>
              <w:rPr>
                <w:webHidden/>
              </w:rPr>
            </w:r>
            <w:r>
              <w:rPr>
                <w:webHidden/>
              </w:rPr>
              <w:fldChar w:fldCharType="separate"/>
            </w:r>
            <w:r>
              <w:rPr>
                <w:webHidden/>
              </w:rPr>
              <w:t>8</w:t>
            </w:r>
            <w:r>
              <w:rPr>
                <w:webHidden/>
              </w:rPr>
              <w:fldChar w:fldCharType="end"/>
            </w:r>
          </w:hyperlink>
        </w:p>
        <w:p w14:paraId="37E1F482" w14:textId="764E44E5" w:rsidR="006A0459" w:rsidRDefault="006A0459">
          <w:pPr>
            <w:pStyle w:val="TOC2"/>
            <w:rPr>
              <w:rFonts w:asciiTheme="minorHAnsi" w:eastAsiaTheme="minorEastAsia" w:hAnsiTheme="minorHAnsi"/>
              <w:sz w:val="22"/>
              <w:szCs w:val="22"/>
              <w:lang w:eastAsia="ja-JP"/>
            </w:rPr>
          </w:pPr>
          <w:hyperlink w:anchor="_Toc84992831" w:history="1">
            <w:r w:rsidRPr="004844BF">
              <w:rPr>
                <w:rStyle w:val="Hyperlink"/>
              </w:rPr>
              <w:t>Experiment 2 mixture components</w:t>
            </w:r>
            <w:r>
              <w:rPr>
                <w:webHidden/>
              </w:rPr>
              <w:tab/>
            </w:r>
            <w:r>
              <w:rPr>
                <w:webHidden/>
              </w:rPr>
              <w:fldChar w:fldCharType="begin"/>
            </w:r>
            <w:r>
              <w:rPr>
                <w:webHidden/>
              </w:rPr>
              <w:instrText xml:space="preserve"> PAGEREF _Toc84992831 \h </w:instrText>
            </w:r>
            <w:r>
              <w:rPr>
                <w:webHidden/>
              </w:rPr>
            </w:r>
            <w:r>
              <w:rPr>
                <w:webHidden/>
              </w:rPr>
              <w:fldChar w:fldCharType="separate"/>
            </w:r>
            <w:r>
              <w:rPr>
                <w:webHidden/>
              </w:rPr>
              <w:t>10</w:t>
            </w:r>
            <w:r>
              <w:rPr>
                <w:webHidden/>
              </w:rPr>
              <w:fldChar w:fldCharType="end"/>
            </w:r>
          </w:hyperlink>
        </w:p>
        <w:p w14:paraId="726DE25C" w14:textId="5392807B" w:rsidR="006A0459" w:rsidRDefault="006A0459">
          <w:pPr>
            <w:pStyle w:val="TOC2"/>
            <w:rPr>
              <w:rFonts w:asciiTheme="minorHAnsi" w:eastAsiaTheme="minorEastAsia" w:hAnsiTheme="minorHAnsi"/>
              <w:sz w:val="22"/>
              <w:szCs w:val="22"/>
              <w:lang w:eastAsia="ja-JP"/>
            </w:rPr>
          </w:pPr>
          <w:hyperlink w:anchor="_Toc84992832" w:history="1">
            <w:r w:rsidRPr="004844BF">
              <w:rPr>
                <w:rStyle w:val="Hyperlink"/>
              </w:rPr>
              <w:t>Experiment 3 mixture components</w:t>
            </w:r>
            <w:r>
              <w:rPr>
                <w:webHidden/>
              </w:rPr>
              <w:tab/>
            </w:r>
            <w:r>
              <w:rPr>
                <w:webHidden/>
              </w:rPr>
              <w:fldChar w:fldCharType="begin"/>
            </w:r>
            <w:r>
              <w:rPr>
                <w:webHidden/>
              </w:rPr>
              <w:instrText xml:space="preserve"> PAGEREF _Toc84992832 \h </w:instrText>
            </w:r>
            <w:r>
              <w:rPr>
                <w:webHidden/>
              </w:rPr>
            </w:r>
            <w:r>
              <w:rPr>
                <w:webHidden/>
              </w:rPr>
              <w:fldChar w:fldCharType="separate"/>
            </w:r>
            <w:r>
              <w:rPr>
                <w:webHidden/>
              </w:rPr>
              <w:t>10</w:t>
            </w:r>
            <w:r>
              <w:rPr>
                <w:webHidden/>
              </w:rPr>
              <w:fldChar w:fldCharType="end"/>
            </w:r>
          </w:hyperlink>
        </w:p>
        <w:p w14:paraId="7C91DA08" w14:textId="2E6B4F77" w:rsidR="006A0459" w:rsidRDefault="006A0459">
          <w:pPr>
            <w:pStyle w:val="TOC2"/>
            <w:rPr>
              <w:rFonts w:asciiTheme="minorHAnsi" w:eastAsiaTheme="minorEastAsia" w:hAnsiTheme="minorHAnsi"/>
              <w:sz w:val="22"/>
              <w:szCs w:val="22"/>
              <w:lang w:eastAsia="ja-JP"/>
            </w:rPr>
          </w:pPr>
          <w:hyperlink w:anchor="_Toc84992833" w:history="1">
            <w:r w:rsidRPr="004844BF">
              <w:rPr>
                <w:rStyle w:val="Hyperlink"/>
              </w:rPr>
              <w:t>Component characterization</w:t>
            </w:r>
            <w:r>
              <w:rPr>
                <w:webHidden/>
              </w:rPr>
              <w:tab/>
            </w:r>
            <w:r>
              <w:rPr>
                <w:webHidden/>
              </w:rPr>
              <w:fldChar w:fldCharType="begin"/>
            </w:r>
            <w:r>
              <w:rPr>
                <w:webHidden/>
              </w:rPr>
              <w:instrText xml:space="preserve"> PAGEREF _Toc84992833 \h </w:instrText>
            </w:r>
            <w:r>
              <w:rPr>
                <w:webHidden/>
              </w:rPr>
            </w:r>
            <w:r>
              <w:rPr>
                <w:webHidden/>
              </w:rPr>
              <w:fldChar w:fldCharType="separate"/>
            </w:r>
            <w:r>
              <w:rPr>
                <w:webHidden/>
              </w:rPr>
              <w:t>11</w:t>
            </w:r>
            <w:r>
              <w:rPr>
                <w:webHidden/>
              </w:rPr>
              <w:fldChar w:fldCharType="end"/>
            </w:r>
          </w:hyperlink>
        </w:p>
        <w:p w14:paraId="0266536E" w14:textId="522106D6" w:rsidR="006A0459" w:rsidRDefault="006A0459">
          <w:pPr>
            <w:pStyle w:val="TOC2"/>
            <w:rPr>
              <w:rFonts w:asciiTheme="minorHAnsi" w:eastAsiaTheme="minorEastAsia" w:hAnsiTheme="minorHAnsi"/>
              <w:sz w:val="22"/>
              <w:szCs w:val="22"/>
              <w:lang w:eastAsia="ja-JP"/>
            </w:rPr>
          </w:pPr>
          <w:hyperlink w:anchor="_Toc84992834" w:history="1">
            <w:r w:rsidRPr="004844BF">
              <w:rPr>
                <w:rStyle w:val="Hyperlink"/>
              </w:rPr>
              <w:t>Mixtures and Atterberg limit tests</w:t>
            </w:r>
            <w:r>
              <w:rPr>
                <w:webHidden/>
              </w:rPr>
              <w:tab/>
            </w:r>
            <w:r>
              <w:rPr>
                <w:webHidden/>
              </w:rPr>
              <w:fldChar w:fldCharType="begin"/>
            </w:r>
            <w:r>
              <w:rPr>
                <w:webHidden/>
              </w:rPr>
              <w:instrText xml:space="preserve"> PAGEREF _Toc84992834 \h </w:instrText>
            </w:r>
            <w:r>
              <w:rPr>
                <w:webHidden/>
              </w:rPr>
            </w:r>
            <w:r>
              <w:rPr>
                <w:webHidden/>
              </w:rPr>
              <w:fldChar w:fldCharType="separate"/>
            </w:r>
            <w:r>
              <w:rPr>
                <w:webHidden/>
              </w:rPr>
              <w:t>12</w:t>
            </w:r>
            <w:r>
              <w:rPr>
                <w:webHidden/>
              </w:rPr>
              <w:fldChar w:fldCharType="end"/>
            </w:r>
          </w:hyperlink>
        </w:p>
        <w:p w14:paraId="2A9B5371" w14:textId="5AD47223" w:rsidR="006A0459" w:rsidRDefault="006A0459">
          <w:pPr>
            <w:pStyle w:val="TOC1"/>
            <w:rPr>
              <w:rFonts w:asciiTheme="minorHAnsi" w:eastAsiaTheme="minorEastAsia" w:hAnsiTheme="minorHAnsi"/>
              <w:color w:val="auto"/>
              <w:szCs w:val="22"/>
              <w:lang w:eastAsia="ja-JP"/>
            </w:rPr>
          </w:pPr>
          <w:hyperlink w:anchor="_Toc84992835" w:history="1">
            <w:r w:rsidRPr="004844BF">
              <w:rPr>
                <w:rStyle w:val="Hyperlink"/>
              </w:rPr>
              <w:t>Results and discussion</w:t>
            </w:r>
            <w:r>
              <w:rPr>
                <w:webHidden/>
              </w:rPr>
              <w:tab/>
            </w:r>
            <w:r>
              <w:rPr>
                <w:webHidden/>
              </w:rPr>
              <w:fldChar w:fldCharType="begin"/>
            </w:r>
            <w:r>
              <w:rPr>
                <w:webHidden/>
              </w:rPr>
              <w:instrText xml:space="preserve"> PAGEREF _Toc84992835 \h </w:instrText>
            </w:r>
            <w:r>
              <w:rPr>
                <w:webHidden/>
              </w:rPr>
            </w:r>
            <w:r>
              <w:rPr>
                <w:webHidden/>
              </w:rPr>
              <w:fldChar w:fldCharType="separate"/>
            </w:r>
            <w:r>
              <w:rPr>
                <w:webHidden/>
              </w:rPr>
              <w:t>13</w:t>
            </w:r>
            <w:r>
              <w:rPr>
                <w:webHidden/>
              </w:rPr>
              <w:fldChar w:fldCharType="end"/>
            </w:r>
          </w:hyperlink>
        </w:p>
        <w:p w14:paraId="23DCDD89" w14:textId="3EC42C42" w:rsidR="006A0459" w:rsidRDefault="006A0459">
          <w:pPr>
            <w:pStyle w:val="TOC2"/>
            <w:rPr>
              <w:rFonts w:asciiTheme="minorHAnsi" w:eastAsiaTheme="minorEastAsia" w:hAnsiTheme="minorHAnsi"/>
              <w:sz w:val="22"/>
              <w:szCs w:val="22"/>
              <w:lang w:eastAsia="ja-JP"/>
            </w:rPr>
          </w:pPr>
          <w:hyperlink w:anchor="_Toc84992836" w:history="1">
            <w:r w:rsidRPr="004844BF">
              <w:rPr>
                <w:rStyle w:val="Hyperlink"/>
              </w:rPr>
              <w:t>Experiment 1</w:t>
            </w:r>
            <w:r>
              <w:rPr>
                <w:webHidden/>
              </w:rPr>
              <w:tab/>
            </w:r>
            <w:r>
              <w:rPr>
                <w:webHidden/>
              </w:rPr>
              <w:fldChar w:fldCharType="begin"/>
            </w:r>
            <w:r>
              <w:rPr>
                <w:webHidden/>
              </w:rPr>
              <w:instrText xml:space="preserve"> PAGEREF _Toc84992836 \h </w:instrText>
            </w:r>
            <w:r>
              <w:rPr>
                <w:webHidden/>
              </w:rPr>
            </w:r>
            <w:r>
              <w:rPr>
                <w:webHidden/>
              </w:rPr>
              <w:fldChar w:fldCharType="separate"/>
            </w:r>
            <w:r>
              <w:rPr>
                <w:webHidden/>
              </w:rPr>
              <w:t>13</w:t>
            </w:r>
            <w:r>
              <w:rPr>
                <w:webHidden/>
              </w:rPr>
              <w:fldChar w:fldCharType="end"/>
            </w:r>
          </w:hyperlink>
        </w:p>
        <w:p w14:paraId="6B2BA62F" w14:textId="264D0C60" w:rsidR="006A0459" w:rsidRDefault="006A0459">
          <w:pPr>
            <w:pStyle w:val="TOC2"/>
            <w:rPr>
              <w:rFonts w:asciiTheme="minorHAnsi" w:eastAsiaTheme="minorEastAsia" w:hAnsiTheme="minorHAnsi"/>
              <w:sz w:val="22"/>
              <w:szCs w:val="22"/>
              <w:lang w:eastAsia="ja-JP"/>
            </w:rPr>
          </w:pPr>
          <w:hyperlink w:anchor="_Toc84992837" w:history="1">
            <w:r w:rsidRPr="004844BF">
              <w:rPr>
                <w:rStyle w:val="Hyperlink"/>
              </w:rPr>
              <w:t>Experiment 2</w:t>
            </w:r>
            <w:r>
              <w:rPr>
                <w:webHidden/>
              </w:rPr>
              <w:tab/>
            </w:r>
            <w:r>
              <w:rPr>
                <w:webHidden/>
              </w:rPr>
              <w:fldChar w:fldCharType="begin"/>
            </w:r>
            <w:r>
              <w:rPr>
                <w:webHidden/>
              </w:rPr>
              <w:instrText xml:space="preserve"> PAGEREF _Toc84992837 \h </w:instrText>
            </w:r>
            <w:r>
              <w:rPr>
                <w:webHidden/>
              </w:rPr>
            </w:r>
            <w:r>
              <w:rPr>
                <w:webHidden/>
              </w:rPr>
              <w:fldChar w:fldCharType="separate"/>
            </w:r>
            <w:r>
              <w:rPr>
                <w:webHidden/>
              </w:rPr>
              <w:t>18</w:t>
            </w:r>
            <w:r>
              <w:rPr>
                <w:webHidden/>
              </w:rPr>
              <w:fldChar w:fldCharType="end"/>
            </w:r>
          </w:hyperlink>
        </w:p>
        <w:p w14:paraId="04935BFA" w14:textId="17023ACE" w:rsidR="006A0459" w:rsidRDefault="006A0459">
          <w:pPr>
            <w:pStyle w:val="TOC2"/>
            <w:rPr>
              <w:rFonts w:asciiTheme="minorHAnsi" w:eastAsiaTheme="minorEastAsia" w:hAnsiTheme="minorHAnsi"/>
              <w:sz w:val="22"/>
              <w:szCs w:val="22"/>
              <w:lang w:eastAsia="ja-JP"/>
            </w:rPr>
          </w:pPr>
          <w:hyperlink w:anchor="_Toc84992838" w:history="1">
            <w:r w:rsidRPr="004844BF">
              <w:rPr>
                <w:rStyle w:val="Hyperlink"/>
              </w:rPr>
              <w:t>Experiment 3</w:t>
            </w:r>
            <w:r>
              <w:rPr>
                <w:webHidden/>
              </w:rPr>
              <w:tab/>
            </w:r>
            <w:r>
              <w:rPr>
                <w:webHidden/>
              </w:rPr>
              <w:fldChar w:fldCharType="begin"/>
            </w:r>
            <w:r>
              <w:rPr>
                <w:webHidden/>
              </w:rPr>
              <w:instrText xml:space="preserve"> PAGEREF _Toc84992838 \h </w:instrText>
            </w:r>
            <w:r>
              <w:rPr>
                <w:webHidden/>
              </w:rPr>
            </w:r>
            <w:r>
              <w:rPr>
                <w:webHidden/>
              </w:rPr>
              <w:fldChar w:fldCharType="separate"/>
            </w:r>
            <w:r>
              <w:rPr>
                <w:webHidden/>
              </w:rPr>
              <w:t>18</w:t>
            </w:r>
            <w:r>
              <w:rPr>
                <w:webHidden/>
              </w:rPr>
              <w:fldChar w:fldCharType="end"/>
            </w:r>
          </w:hyperlink>
        </w:p>
        <w:p w14:paraId="243C45E3" w14:textId="35F80F7D" w:rsidR="006A0459" w:rsidRDefault="006A0459">
          <w:pPr>
            <w:pStyle w:val="TOC1"/>
            <w:rPr>
              <w:rFonts w:asciiTheme="minorHAnsi" w:eastAsiaTheme="minorEastAsia" w:hAnsiTheme="minorHAnsi"/>
              <w:color w:val="auto"/>
              <w:szCs w:val="22"/>
              <w:lang w:eastAsia="ja-JP"/>
            </w:rPr>
          </w:pPr>
          <w:hyperlink w:anchor="_Toc84992839" w:history="1">
            <w:r w:rsidRPr="004844BF">
              <w:rPr>
                <w:rStyle w:val="Hyperlink"/>
              </w:rPr>
              <w:t>Conclusions</w:t>
            </w:r>
            <w:r>
              <w:rPr>
                <w:webHidden/>
              </w:rPr>
              <w:tab/>
            </w:r>
            <w:r>
              <w:rPr>
                <w:webHidden/>
              </w:rPr>
              <w:fldChar w:fldCharType="begin"/>
            </w:r>
            <w:r>
              <w:rPr>
                <w:webHidden/>
              </w:rPr>
              <w:instrText xml:space="preserve"> PAGEREF _Toc84992839 \h </w:instrText>
            </w:r>
            <w:r>
              <w:rPr>
                <w:webHidden/>
              </w:rPr>
            </w:r>
            <w:r>
              <w:rPr>
                <w:webHidden/>
              </w:rPr>
              <w:fldChar w:fldCharType="separate"/>
            </w:r>
            <w:r>
              <w:rPr>
                <w:webHidden/>
              </w:rPr>
              <w:t>20</w:t>
            </w:r>
            <w:r>
              <w:rPr>
                <w:webHidden/>
              </w:rPr>
              <w:fldChar w:fldCharType="end"/>
            </w:r>
          </w:hyperlink>
        </w:p>
        <w:p w14:paraId="3751D48E" w14:textId="573A9DD5" w:rsidR="006A0459" w:rsidRDefault="006A0459">
          <w:pPr>
            <w:pStyle w:val="TOC1"/>
            <w:rPr>
              <w:rFonts w:asciiTheme="minorHAnsi" w:eastAsiaTheme="minorEastAsia" w:hAnsiTheme="minorHAnsi"/>
              <w:color w:val="auto"/>
              <w:szCs w:val="22"/>
              <w:lang w:eastAsia="ja-JP"/>
            </w:rPr>
          </w:pPr>
          <w:hyperlink w:anchor="_Toc84992840" w:history="1">
            <w:r w:rsidRPr="004844BF">
              <w:rPr>
                <w:rStyle w:val="Hyperlink"/>
              </w:rPr>
              <w:t>References</w:t>
            </w:r>
            <w:r>
              <w:rPr>
                <w:webHidden/>
              </w:rPr>
              <w:tab/>
            </w:r>
            <w:r>
              <w:rPr>
                <w:webHidden/>
              </w:rPr>
              <w:fldChar w:fldCharType="begin"/>
            </w:r>
            <w:r>
              <w:rPr>
                <w:webHidden/>
              </w:rPr>
              <w:instrText xml:space="preserve"> PAGEREF _Toc84992840 \h </w:instrText>
            </w:r>
            <w:r>
              <w:rPr>
                <w:webHidden/>
              </w:rPr>
            </w:r>
            <w:r>
              <w:rPr>
                <w:webHidden/>
              </w:rPr>
              <w:fldChar w:fldCharType="separate"/>
            </w:r>
            <w:r>
              <w:rPr>
                <w:webHidden/>
              </w:rPr>
              <w:t>20</w:t>
            </w:r>
            <w:r>
              <w:rPr>
                <w:webHidden/>
              </w:rPr>
              <w:fldChar w:fldCharType="end"/>
            </w:r>
          </w:hyperlink>
        </w:p>
        <w:p w14:paraId="4C73D54D" w14:textId="5954232D" w:rsidR="007070AB" w:rsidRDefault="006A0459">
          <w:r>
            <w:fldChar w:fldCharType="end"/>
          </w:r>
        </w:p>
      </w:sdtContent>
    </w:sdt>
    <w:p w14:paraId="7CBFD60A" w14:textId="77777777" w:rsidR="007070AB" w:rsidRDefault="006A0459">
      <w:pPr>
        <w:pStyle w:val="Heading1"/>
      </w:pPr>
      <w:bookmarkStart w:id="0" w:name="abstract"/>
      <w:bookmarkStart w:id="1" w:name="_Toc84992819"/>
      <w:r>
        <w:t>Abstract</w:t>
      </w:r>
      <w:bookmarkEnd w:id="1"/>
    </w:p>
    <w:p w14:paraId="2A4520A8" w14:textId="77777777" w:rsidR="007070AB" w:rsidRDefault="006A0459">
      <w:pPr>
        <w:pStyle w:val="FirstParagraph"/>
      </w:pPr>
      <w:r>
        <w:t>Sand-clay mixtures are commonly manufactured for use on baseball and softball infield skin surfaces.   Atterberg plasticity tests may be an informative way to characterize infield mixes because the tests directly measure the soil’s response to changing wat</w:t>
      </w:r>
      <w:r>
        <w:t>er content.</w:t>
      </w:r>
    </w:p>
    <w:p w14:paraId="7912108D" w14:textId="77777777" w:rsidR="007070AB" w:rsidRDefault="006A0459">
      <w:pPr>
        <w:pStyle w:val="BodyText"/>
      </w:pPr>
      <w:r>
        <w:lastRenderedPageBreak/>
        <w:t>Infield mixes contain a range of sand particle sizes. Standard protocols for the Atterberg limit tests mandate that sand &gt;425 μm is removed from the test specimen via washing. This directive makes it difficult to compare mixes, because the effe</w:t>
      </w:r>
      <w:r>
        <w:t>ct of the fines’ plasticity may be confounded by removing different amounts of sand.</w:t>
      </w:r>
    </w:p>
    <w:p w14:paraId="063F0620" w14:textId="77777777" w:rsidR="007070AB" w:rsidRDefault="006A0459">
      <w:pPr>
        <w:pStyle w:val="BodyText"/>
      </w:pPr>
      <w:r>
        <w:t>Three experiments were conducted to re-appraise the practice of removing ‘oversize’ particles from Atterberg limit specimens.</w:t>
      </w:r>
    </w:p>
    <w:p w14:paraId="3E885B92" w14:textId="77777777" w:rsidR="007070AB" w:rsidRDefault="006A0459">
      <w:pPr>
        <w:pStyle w:val="BodyText"/>
      </w:pPr>
      <w:r>
        <w:t>In Experiment 1, an angular quartz sand was f</w:t>
      </w:r>
      <w:r>
        <w:t>ractionated to five individual mesh sizes (2.0-1.0, 1.0-0.5, 0.5-0.25, 0.25-0.15, and 0.15-0.05 mm). Each sand size was mixed with a kaolinitic clay at 0, 20, 40, 60, 70, 75, and 80 percent sand by mass. The liquid limit (LL) and plastic limit (PL) were de</w:t>
      </w:r>
      <w:r>
        <w:t>termined for each mix.</w:t>
      </w:r>
    </w:p>
    <w:p w14:paraId="2FE5B465" w14:textId="77777777" w:rsidR="007070AB" w:rsidRDefault="006A0459">
      <w:pPr>
        <w:pStyle w:val="BodyText"/>
      </w:pPr>
      <w:r>
        <w:t>At low sand contents, LL and PL showed a linear decrease per unit sand addition. This suggests the sand grains are fully suspended in the clay-water matrix and do not participate in the soil’s behavior. The linear relationship deteri</w:t>
      </w:r>
      <w:r>
        <w:t xml:space="preserve">orated above 50% sand for LL and above 30% sand for PL. Mixes containing coarser sands adhered more closely to a linear relation than finer sands. It is postulated that in a drying soil thread, a greater number of particle contacts among finer sand grains </w:t>
      </w:r>
      <w:r>
        <w:t>encourages the formation of defects and micro-cracks. These cracks then coalesce to induce premature crumbling relative to mixes with coarser sand.</w:t>
      </w:r>
    </w:p>
    <w:p w14:paraId="08DD2FB9" w14:textId="77777777" w:rsidR="007070AB" w:rsidRDefault="006A0459">
      <w:pPr>
        <w:pStyle w:val="BodyText"/>
      </w:pPr>
      <w:r>
        <w:t>Experiment 2 compared the effect of mixing either an angular or a round sand with kaolinitic clay. Each sand</w:t>
      </w:r>
      <w:r>
        <w:t xml:space="preserve"> contained particles only 0.5-1.0 mm. Little difference was observed in the LL and PL, suggesting sand particle shape plays a minimal role in these tests.</w:t>
      </w:r>
    </w:p>
    <w:p w14:paraId="5801E1E8" w14:textId="77777777" w:rsidR="007070AB" w:rsidRDefault="006A0459">
      <w:pPr>
        <w:pStyle w:val="BodyText"/>
      </w:pPr>
      <w:r>
        <w:t>Experiment 3 compared the effect of sand size uniformity on LL and PL. Two sands having coefficient o</w:t>
      </w:r>
      <w:r>
        <w:t>f uniformity values (C</w:t>
      </w:r>
      <w:r>
        <w:rPr>
          <w:vertAlign w:val="subscript"/>
        </w:rPr>
        <w:t>u</w:t>
      </w:r>
      <w:r>
        <w:t>) of 1.9 and 3.9 were mixed with an illitic clay at sand contents from 0-80%. The high-C</w:t>
      </w:r>
      <w:r>
        <w:rPr>
          <w:vertAlign w:val="subscript"/>
        </w:rPr>
        <w:t>u</w:t>
      </w:r>
      <w:r>
        <w:t xml:space="preserve"> sand had higher LL and PL for equivalent sand content. The increase in water content was roughly equal (~1 %) for both LL and PL, so little cha</w:t>
      </w:r>
      <w:r>
        <w:t>nge in plasticity index occured.</w:t>
      </w:r>
    </w:p>
    <w:p w14:paraId="4E58F5EC" w14:textId="77777777" w:rsidR="007070AB" w:rsidRDefault="006A0459">
      <w:pPr>
        <w:pStyle w:val="BodyText"/>
      </w:pPr>
      <w:r>
        <w:t>Results from this research suggest particles with sieve diameter 2000-425 μm need not be removed for Atterberg limit tests. These particles influence LL and PL less than finer sands, which are permitted to remain in the sam</w:t>
      </w:r>
      <w:r>
        <w:t>ple. The effects of particle shape and particle-size uniformity were small compared with that of particle size. These findings can encourage more useful evaluations of infield mixes with intermediate sand content, and to expedite the LL and PL tests for in</w:t>
      </w:r>
      <w:r>
        <w:t>field mixes.</w:t>
      </w:r>
    </w:p>
    <w:p w14:paraId="3E7A9F1C" w14:textId="77777777" w:rsidR="007070AB" w:rsidRDefault="006A0459">
      <w:pPr>
        <w:pStyle w:val="Heading1"/>
      </w:pPr>
      <w:bookmarkStart w:id="2" w:name="introduction"/>
      <w:bookmarkStart w:id="3" w:name="_Toc84992820"/>
      <w:bookmarkEnd w:id="0"/>
      <w:r>
        <w:t>Introduction</w:t>
      </w:r>
      <w:bookmarkEnd w:id="3"/>
    </w:p>
    <w:p w14:paraId="720C6222" w14:textId="77777777" w:rsidR="007070AB" w:rsidRDefault="006A0459">
      <w:pPr>
        <w:pStyle w:val="FirstParagraph"/>
      </w:pPr>
      <w:r>
        <w:t>Much of a baseball game is played on the infield skin. The infield skin comprises bare, highly-compacted soil and makes up ~10% of the total playing surface.</w:t>
      </w:r>
      <w:r>
        <w:br/>
        <w:t>This area is intensively maintained because of its importance to gamepla</w:t>
      </w:r>
      <w:r>
        <w:t>y.</w:t>
      </w:r>
    </w:p>
    <w:p w14:paraId="5E690DE0" w14:textId="77777777" w:rsidR="007070AB" w:rsidRDefault="006A0459">
      <w:pPr>
        <w:pStyle w:val="BodyText"/>
      </w:pPr>
      <w:r>
        <w:t>An ideal infield surface exhibits high stiffness yet maintains a plastic mode of yield. A general definition of ‘plastic’ is the capacity to undergo non-reversible deformation by an applied stress (</w:t>
      </w:r>
      <w:hyperlink w:anchor="ref-Worrall1986">
        <w:r>
          <w:rPr>
            <w:rStyle w:val="Hyperlink"/>
          </w:rPr>
          <w:t>Worrall, 1986</w:t>
        </w:r>
      </w:hyperlink>
      <w:r>
        <w:t>). F</w:t>
      </w:r>
      <w:r>
        <w:t xml:space="preserve">igure 1 A shows that a plastic infield soil allows players’ cleats to penetrate the surface but minimize the size of the cleat marks. These small indentations are unlikely to alter ball response. As the soil dries, the cleats induce a more brittle failure </w:t>
      </w:r>
      <w:r>
        <w:t>mechanism in which larger chips and clods are formed. If a batted ball strikes one of these larger imperfections, an unpredictable change in ball path may induce fielding errors and player injuries.</w:t>
      </w:r>
    </w:p>
    <w:p w14:paraId="672A6659" w14:textId="77777777" w:rsidR="007070AB" w:rsidRDefault="006A0459">
      <w:pPr>
        <w:pStyle w:val="CaptionedFigure"/>
      </w:pPr>
      <w:r>
        <w:rPr>
          <w:noProof/>
        </w:rPr>
        <w:drawing>
          <wp:inline distT="0" distB="0" distL="0" distR="0" wp14:anchorId="7F611FAD" wp14:editId="07777777">
            <wp:extent cx="5943600" cy="4590981"/>
            <wp:effectExtent l="0" t="0" r="0" b="0"/>
            <wp:docPr id="1" name="Picture" descr="Figure 1: A. A stiff but plastic soil promotes predictable ball response. B. Cleat indentations and soil clods inhibit a smooth, predictable ball path."/>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manually-built/cleat-in-cleat-out-concept.png"/>
                    <pic:cNvPicPr>
                      <a:picLocks noChangeAspect="1" noChangeArrowheads="1"/>
                    </pic:cNvPicPr>
                  </pic:nvPicPr>
                  <pic:blipFill>
                    <a:blip r:embed="rId7"/>
                    <a:stretch>
                      <a:fillRect/>
                    </a:stretch>
                  </pic:blipFill>
                  <pic:spPr bwMode="auto">
                    <a:xfrm>
                      <a:off x="0" y="0"/>
                      <a:ext cx="5943600" cy="4590981"/>
                    </a:xfrm>
                    <a:prstGeom prst="rect">
                      <a:avLst/>
                    </a:prstGeom>
                    <a:noFill/>
                    <a:ln w="9525">
                      <a:noFill/>
                      <a:headEnd/>
                      <a:tailEnd/>
                    </a:ln>
                  </pic:spPr>
                </pic:pic>
              </a:graphicData>
            </a:graphic>
          </wp:inline>
        </w:drawing>
      </w:r>
    </w:p>
    <w:p w14:paraId="29071391" w14:textId="77777777" w:rsidR="007070AB" w:rsidRDefault="006A0459">
      <w:pPr>
        <w:pStyle w:val="ImageCaption"/>
      </w:pPr>
      <w:r>
        <w:t>Figure 1: A. A stiff but plastic soil promotes predicta</w:t>
      </w:r>
      <w:r>
        <w:t>ble ball response. B. Cleat indentations and soil clods inhibit a smooth, predictable ball path.</w:t>
      </w:r>
    </w:p>
    <w:p w14:paraId="7A1BE209" w14:textId="77777777" w:rsidR="007070AB" w:rsidRDefault="006A0459">
      <w:pPr>
        <w:pStyle w:val="BodyText"/>
      </w:pPr>
      <w:r>
        <w:t>Proper soil moisture is critical for producing a quality infield surface, and it is the critical variable affecting soil plasticity (</w:t>
      </w:r>
      <w:hyperlink w:anchor="ref-Holtz2010">
        <w:r>
          <w:rPr>
            <w:rStyle w:val="Hyperlink"/>
          </w:rPr>
          <w:t>Holtz et al., 2010</w:t>
        </w:r>
      </w:hyperlink>
      <w:r>
        <w:t xml:space="preserve">; </w:t>
      </w:r>
      <w:hyperlink w:anchor="ref-SportsTurfManagersAssociation2015">
        <w:r>
          <w:rPr>
            <w:rStyle w:val="Hyperlink"/>
          </w:rPr>
          <w:t>Association, 2015</w:t>
        </w:r>
      </w:hyperlink>
      <w:r>
        <w:t xml:space="preserve">). The Atterberg limits are simple plasticity tests which measure how a soil responds to changing water content. Therefore, the Atterberg limits may </w:t>
      </w:r>
      <w:r>
        <w:t>be useful for predicting how a given infield soil will interact with water.</w:t>
      </w:r>
    </w:p>
    <w:p w14:paraId="4E73C7B7" w14:textId="77777777" w:rsidR="007070AB" w:rsidRDefault="006A0459">
      <w:pPr>
        <w:pStyle w:val="BodyText"/>
      </w:pPr>
      <w:r>
        <w:t>The remainder of this section describes the historical development of Atterberg limit tests, their potential utility and shortcomings when applied to infield soils, and prior resea</w:t>
      </w:r>
      <w:r>
        <w:t>rch on the effect of coarse particles on the test results. .</w:t>
      </w:r>
    </w:p>
    <w:p w14:paraId="452F4892" w14:textId="77777777" w:rsidR="007070AB" w:rsidRDefault="006A0459">
      <w:pPr>
        <w:pStyle w:val="Heading2"/>
      </w:pPr>
      <w:bookmarkStart w:id="4" w:name="Xa548eb54da67bd28d2a3b146e39610265918076"/>
      <w:bookmarkStart w:id="5" w:name="_Toc84992821"/>
      <w:r>
        <w:t>Historical definitions of soil behavior thresholds</w:t>
      </w:r>
      <w:bookmarkEnd w:id="5"/>
    </w:p>
    <w:p w14:paraId="3906898C" w14:textId="77777777" w:rsidR="007070AB" w:rsidRDefault="006A0459">
      <w:pPr>
        <w:pStyle w:val="FirstParagraph"/>
      </w:pPr>
      <w:r>
        <w:t>A. Atterberg was among the first to describe the water contents marking identifiable changes in soil behavior (</w:t>
      </w:r>
      <w:hyperlink w:anchor="ref-Atterberg1911">
        <w:r>
          <w:rPr>
            <w:rStyle w:val="Hyperlink"/>
          </w:rPr>
          <w:t>Atterberg, 1911</w:t>
        </w:r>
      </w:hyperlink>
      <w:r>
        <w:t xml:space="preserve">; </w:t>
      </w:r>
      <w:hyperlink w:anchor="ref-Atterberg1974">
        <w:r>
          <w:rPr>
            <w:rStyle w:val="Hyperlink"/>
          </w:rPr>
          <w:t>1974</w:t>
        </w:r>
      </w:hyperlink>
      <w:r>
        <w:t>). He outlined seven characteristic water contents whose values were unique for every soil. These water contents marked characteristic changes in behavior (behavioral thresholds). From wet</w:t>
      </w:r>
      <w:r>
        <w:t xml:space="preserve"> to dry, the thresholds comprised: (1) upper limit of dense liquid, (2) limit of water-hardness, (3) lower limit of dense liquid (flow limit), (4) adhesion limit, (5) plastic limit, (6) cohesion limit, and (7) shrinkage limit. Today, four principal states </w:t>
      </w:r>
      <w:r>
        <w:t>of soil are commonly recognized: solid, semi-solid, plastic, and liquid. These are separated by the shrinkage, plastic, and liquid limits (</w:t>
      </w:r>
      <w:hyperlink w:anchor="ref-McBride2002">
        <w:r>
          <w:rPr>
            <w:rStyle w:val="Hyperlink"/>
          </w:rPr>
          <w:t>McBride, 2002</w:t>
        </w:r>
      </w:hyperlink>
      <w:r>
        <w:t>).</w:t>
      </w:r>
    </w:p>
    <w:p w14:paraId="42035563" w14:textId="77777777" w:rsidR="007070AB" w:rsidRDefault="006A0459">
      <w:pPr>
        <w:pStyle w:val="BodyText"/>
      </w:pPr>
      <w:r>
        <w:t xml:space="preserve">Atterberg also described test methods to quantitatively identify his thresholds. The flow limit (i.e. liquid limit) was measured by first mixing a soil to a paste-like consistency in a bowl. A groove was cut in the sample and the bowl was agitated against </w:t>
      </w:r>
      <w:r>
        <w:t>the palm. Dry soil was added until the groove barely closed after several blows. The gravimetric water content of the sample was then taken and considered the liquid limit (LL). The plastic limit was determined by repeatedly rolling the soil into thin thre</w:t>
      </w:r>
      <w:r>
        <w:t>ads. When the sample dried such that it could no longer be rolled, its water content was determined. This water content was taken as the plastic limit (PL). Atterberg termed the difference between LL and PL the “plasticity number.” Today it is known as the</w:t>
      </w:r>
      <w:r>
        <w:t xml:space="preserve"> plasticity index or PI. The PI is the range of water content over which a soil is plastic.</w:t>
      </w:r>
    </w:p>
    <w:p w14:paraId="72D3E43D" w14:textId="77777777" w:rsidR="007070AB" w:rsidRDefault="006A0459">
      <w:pPr>
        <w:pStyle w:val="BodyText"/>
      </w:pPr>
      <w:r>
        <w:t>Atterberg’s original methods were modified and standardized by geotechnical engineers (</w:t>
      </w:r>
      <w:hyperlink w:anchor="ref-Terzaghi1925">
        <w:r>
          <w:rPr>
            <w:rStyle w:val="Hyperlink"/>
          </w:rPr>
          <w:t>Terzaghi, 1925</w:t>
        </w:r>
      </w:hyperlink>
      <w:r>
        <w:t xml:space="preserve">; </w:t>
      </w:r>
      <w:hyperlink w:anchor="ref-Casagrande1932">
        <w:r>
          <w:rPr>
            <w:rStyle w:val="Hyperlink"/>
          </w:rPr>
          <w:t>Casagrande, 1932</w:t>
        </w:r>
      </w:hyperlink>
      <w:r>
        <w:t xml:space="preserve">). The liquid limit test is now performed with a mechanical device comprising a brass cup agitated by a rotating cam. A standardized grooving tool ensures the soil paste is shaped repeatably. </w:t>
      </w:r>
      <w:hyperlink w:anchor="ref-Terzaghi1925">
        <w:r>
          <w:rPr>
            <w:rStyle w:val="Hyperlink"/>
          </w:rPr>
          <w:t>Terzaghi</w:t>
        </w:r>
      </w:hyperlink>
      <w:r>
        <w:t xml:space="preserve"> (</w:t>
      </w:r>
      <w:hyperlink w:anchor="ref-Terzaghi1925">
        <w:r>
          <w:rPr>
            <w:rStyle w:val="Hyperlink"/>
          </w:rPr>
          <w:t>1925</w:t>
        </w:r>
      </w:hyperlink>
      <w:r>
        <w:t>) introduced the use of a fixed thread diameter (3.2 mm or 1/8 in) for the PL test. The PL test remains otherwise unchanged.</w:t>
      </w:r>
    </w:p>
    <w:p w14:paraId="55C5CF1E" w14:textId="77777777" w:rsidR="007070AB" w:rsidRDefault="006A0459">
      <w:pPr>
        <w:pStyle w:val="Heading2"/>
      </w:pPr>
      <w:bookmarkStart w:id="6" w:name="Xa38e3b18e2a53746a1edaa88364bcce7746268a"/>
      <w:bookmarkStart w:id="7" w:name="_Toc84992822"/>
      <w:bookmarkEnd w:id="4"/>
      <w:r>
        <w:t>Oversize particle removal in plasticity tests</w:t>
      </w:r>
      <w:bookmarkEnd w:id="7"/>
    </w:p>
    <w:p w14:paraId="064C6091" w14:textId="77777777" w:rsidR="007070AB" w:rsidRDefault="006A0459">
      <w:pPr>
        <w:pStyle w:val="FirstParagraph"/>
      </w:pPr>
      <w:hyperlink w:anchor="ref-Casagrande1932">
        <w:r>
          <w:rPr>
            <w:rStyle w:val="Hyperlink"/>
          </w:rPr>
          <w:t>Casagrande</w:t>
        </w:r>
      </w:hyperlink>
      <w:r>
        <w:t xml:space="preserve"> (</w:t>
      </w:r>
      <w:hyperlink w:anchor="ref-Casagrande1932">
        <w:r>
          <w:rPr>
            <w:rStyle w:val="Hyperlink"/>
          </w:rPr>
          <w:t>1932</w:t>
        </w:r>
      </w:hyperlink>
      <w:r>
        <w:t>) stated that Atterberg’s tests should be performed only on material &lt;425 μm sieve diameter. He suggested the coarse fraction must be removed from the sample because large grains c</w:t>
      </w:r>
      <w:r>
        <w:t>ould affect the groove closure in the brass cup or interfere with the rolling of a thin soil thread. The authors are unaware of any published rationale for the choice of 425 μm diameter as a maximum allowable particle size. Casagrande probably deemed it im</w:t>
      </w:r>
      <w:r>
        <w:t>practical to wash the entire sample through a finer sieve and arrived at this diameter as a suitable (if arbitrary) compromise. The 425 μm sieve diameter would have been a convenient choice because it also formed the boundary between ‘fine’ and ‘medium’ sa</w:t>
      </w:r>
      <w:r>
        <w:t>nd in Casagrande’s Airfield Classification (AC) (</w:t>
      </w:r>
      <w:hyperlink w:anchor="ref-Casagrande1947">
        <w:r>
          <w:rPr>
            <w:rStyle w:val="Hyperlink"/>
          </w:rPr>
          <w:t>Casagrande, 1947</w:t>
        </w:r>
      </w:hyperlink>
      <w:r>
        <w:t>)</w:t>
      </w:r>
      <w:r>
        <w:rPr>
          <w:rStyle w:val="FootnoteReference"/>
        </w:rPr>
        <w:footnoteReference w:id="1"/>
      </w:r>
      <w:r>
        <w:t>.</w:t>
      </w:r>
    </w:p>
    <w:p w14:paraId="19CD62DA" w14:textId="77777777" w:rsidR="007070AB" w:rsidRDefault="006A0459">
      <w:pPr>
        <w:pStyle w:val="BodyText"/>
      </w:pPr>
      <w:r>
        <w:t>Modern Atterberg limit protocols require the operator to wet-sieve the sample if particles &gt; 425 μm cannot be removed by hand (</w:t>
      </w:r>
      <w:hyperlink w:anchor="ref-ASTMD43182018">
        <w:r>
          <w:rPr>
            <w:rStyle w:val="Hyperlink"/>
          </w:rPr>
          <w:t>ASTM International, 2018</w:t>
        </w:r>
      </w:hyperlink>
      <w:r>
        <w:t xml:space="preserve">; </w:t>
      </w:r>
      <w:hyperlink w:anchor="ref-AASHTO2020a">
        <w:r>
          <w:rPr>
            <w:rStyle w:val="Hyperlink"/>
          </w:rPr>
          <w:t>AASHTO, 2020</w:t>
        </w:r>
      </w:hyperlink>
      <w:r>
        <w:t>). This proce</w:t>
      </w:r>
      <w:r>
        <w:t>ss often yields several hundred mL of water for ~150 g of soil solids. The sample’s water content must then be reduced to the LL. Slow drying is the preferred method because filtration removes soluble salts and may influence the test result.</w:t>
      </w:r>
    </w:p>
    <w:p w14:paraId="365F6E0F" w14:textId="77777777" w:rsidR="007070AB" w:rsidRDefault="006A0459">
      <w:pPr>
        <w:pStyle w:val="BodyText"/>
      </w:pPr>
      <w:r>
        <w:t>When the sampl</w:t>
      </w:r>
      <w:r>
        <w:t>e is wet-sieved, its LL must be corrected for the mass of removed particles. In this correction it is assumed that all water associates with the fines and that the LL of the mix is inversely proportional to sand content. This concept was termed the “linear</w:t>
      </w:r>
      <w:r>
        <w:t xml:space="preserve"> law of mixtures” by </w:t>
      </w:r>
      <w:hyperlink w:anchor="ref-Sivapullaiah1985">
        <w:r>
          <w:rPr>
            <w:rStyle w:val="Hyperlink"/>
          </w:rPr>
          <w:t>Sivapullaiah and Sridharan</w:t>
        </w:r>
      </w:hyperlink>
      <w:r>
        <w:t xml:space="preserve"> (</w:t>
      </w:r>
      <w:hyperlink w:anchor="ref-Sivapullaiah1985">
        <w:r>
          <w:rPr>
            <w:rStyle w:val="Hyperlink"/>
          </w:rPr>
          <w:t>1985</w:t>
        </w:r>
      </w:hyperlink>
      <w:r>
        <w:t>). The whole-soil liquid limit is computed from the linear law as:</w:t>
      </w:r>
    </w:p>
    <w:p w14:paraId="0641E8BB" w14:textId="77777777" w:rsidR="007070AB" w:rsidRDefault="006A0459">
      <w:pPr>
        <w:pStyle w:val="BodyText"/>
      </w:pPr>
      <m:oMathPara>
        <m:oMathParaPr>
          <m:jc m:val="center"/>
        </m:oMathParaPr>
        <m:oMath>
          <m: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w</m:t>
              </m:r>
              <m:r>
                <w:rPr>
                  <w:rFonts w:ascii="Cambria Math" w:hAnsi="Cambria Math"/>
                </w:rPr>
                <m:t>h</m:t>
              </m:r>
              <m:r>
                <w:rPr>
                  <w:rFonts w:ascii="Cambria Math" w:hAnsi="Cambria Math"/>
                </w:rPr>
                <m:t>ole</m:t>
              </m:r>
              <m:r>
                <w:rPr>
                  <w:rFonts w:ascii="Cambria Math" w:hAnsi="Cambria Math"/>
                </w:rPr>
                <m:t>-</m:t>
              </m:r>
              <m:r>
                <w:rPr>
                  <w:rFonts w:ascii="Cambria Math" w:hAnsi="Cambria Math"/>
                </w:rPr>
                <m:t>soil</m:t>
              </m:r>
            </m:sub>
          </m:sSub>
          <m:r>
            <w:rPr>
              <w:rFonts w:ascii="Cambria Math" w:hAnsi="Cambria Math"/>
            </w:rPr>
            <m:t>=</m:t>
          </m:r>
          <m: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&lt;425</m:t>
              </m:r>
              <m:r>
                <w:rPr>
                  <w:rFonts w:ascii="Cambria Math" w:hAnsi="Cambria Math"/>
                </w:rPr>
                <m:t>μm</m:t>
              </m:r>
              <m:r>
                <w:rPr>
                  <w:rFonts w:ascii="Cambria Math" w:hAnsi="Cambria Math"/>
                </w:rPr>
                <m:t> </m:t>
              </m:r>
              <m:r>
                <w:rPr>
                  <w:rFonts w:ascii="Cambria Math" w:hAnsi="Cambria Math"/>
                </w:rPr>
                <m:t>fractio</m:t>
              </m:r>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&lt;425</m:t>
              </m:r>
              <m:r>
                <w:rPr>
                  <w:rFonts w:ascii="Cambria Math" w:hAnsi="Cambria Math"/>
                </w:rPr>
                <m:t>μm</m:t>
              </m:r>
              <m:r>
                <w:rPr>
                  <w:rFonts w:ascii="Cambria Math" w:hAnsi="Cambria Math"/>
                </w:rPr>
                <m:t> </m:t>
              </m:r>
              <m:r>
                <w:rPr>
                  <w:rFonts w:ascii="Cambria Math" w:hAnsi="Cambria Math"/>
                </w:rPr>
                <m:t>fraction</m:t>
              </m:r>
            </m:sub>
          </m:sSub>
          <m:r>
            <w:rPr>
              <w:rFonts w:ascii="Cambria Math" w:hAnsi="Cambria Math"/>
            </w:rPr>
            <m:t>  </m:t>
          </m:r>
          <m:r>
            <w:rPr>
              <w:rFonts w:ascii="Cambria Math" w:hAnsi="Cambria Math"/>
            </w:rPr>
            <m:t>(1)</m:t>
          </m:r>
        </m:oMath>
      </m:oMathPara>
    </w:p>
    <w:p w14:paraId="2F8FC6B7" w14:textId="77777777" w:rsidR="007070AB" w:rsidRDefault="006A0459">
      <w:pPr>
        <w:pStyle w:val="FirstParagraph"/>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&lt;425</m:t>
            </m:r>
            <m:r>
              <w:rPr>
                <w:rFonts w:ascii="Cambria Math" w:hAnsi="Cambria Math"/>
              </w:rPr>
              <m:t>μm</m:t>
            </m:r>
            <m:r>
              <w:rPr>
                <w:rFonts w:ascii="Cambria Math" w:hAnsi="Cambria Math"/>
              </w:rPr>
              <m:t> </m:t>
            </m:r>
            <m:r>
              <w:rPr>
                <w:rFonts w:ascii="Cambria Math" w:hAnsi="Cambria Math"/>
              </w:rPr>
              <m:t>fraction</m:t>
            </m:r>
          </m:sub>
        </m:sSub>
      </m:oMath>
      <w:r>
        <w:t xml:space="preserve"> is the mass percent passing the #40 sieve, as a decimal. The same calculation can be made to obtain the whole-soil PL. However, data from </w:t>
      </w:r>
      <w:hyperlink w:anchor="ref-Barnes2013">
        <w:r>
          <w:rPr>
            <w:rStyle w:val="Hyperlink"/>
          </w:rPr>
          <w:t>Barnes</w:t>
        </w:r>
      </w:hyperlink>
      <w:r>
        <w:t xml:space="preserve"> (</w:t>
      </w:r>
      <w:hyperlink w:anchor="ref-Barnes2013">
        <w:r>
          <w:rPr>
            <w:rStyle w:val="Hyperlink"/>
          </w:rPr>
          <w:t>2013</w:t>
        </w:r>
      </w:hyperlink>
      <w:r>
        <w:t>) suggests these corrections may be invalid for oversize content as low as 10%.</w:t>
      </w:r>
    </w:p>
    <w:p w14:paraId="6C4BEDC3" w14:textId="77777777" w:rsidR="007070AB" w:rsidRDefault="006A0459">
      <w:pPr>
        <w:pStyle w:val="Heading2"/>
      </w:pPr>
      <w:bookmarkStart w:id="8" w:name="X54757548c4aa8a5463bc4a0a34a7f3162d824b1"/>
      <w:bookmarkStart w:id="9" w:name="_Toc84992823"/>
      <w:bookmarkEnd w:id="6"/>
      <w:r>
        <w:t>Potential utility of Atterberg limits for baseball infield soils</w:t>
      </w:r>
      <w:bookmarkEnd w:id="9"/>
    </w:p>
    <w:p w14:paraId="15F254A7" w14:textId="77777777" w:rsidR="007070AB" w:rsidRDefault="006A0459">
      <w:pPr>
        <w:pStyle w:val="FirstParagraph"/>
      </w:pPr>
      <w:r>
        <w:t>Infield soils are commonly blended offsite by mixing a relatively pure sa</w:t>
      </w:r>
      <w:r>
        <w:t>nd with a finer-grained soil. The material is often screened to remove gravel, but the mix may contain as much as 50% of its total mass between 0.425 and 2 mm (</w:t>
      </w:r>
      <w:hyperlink w:anchor="ref-Schroder2012">
        <w:r>
          <w:rPr>
            <w:rStyle w:val="Hyperlink"/>
          </w:rPr>
          <w:t>Schroder, 2012</w:t>
        </w:r>
      </w:hyperlink>
      <w:r>
        <w:t xml:space="preserve">). </w:t>
      </w:r>
      <w:r>
        <w:t>Therefore, canonical Atterberg limit methods would require much of the sample to be removed via wet sieving.</w:t>
      </w:r>
    </w:p>
    <w:p w14:paraId="11F18365" w14:textId="77777777" w:rsidR="007070AB" w:rsidRDefault="006A0459">
      <w:pPr>
        <w:pStyle w:val="BodyText"/>
      </w:pPr>
      <w:r>
        <w:t>The requirement to remove “oversize” particles makes comparing test results from different infield mixes difficult. Consider a case in which two so</w:t>
      </w:r>
      <w:r>
        <w:t>ils have the same total sand content, but contain different sand gradations and also different clay minerals. One sample may have significantly higher LL or PL, but it will not be not clear whether the difference is due to the nature of the fines, or simpl</w:t>
      </w:r>
      <w:r>
        <w:t>y because more sand was removed.</w:t>
      </w:r>
    </w:p>
    <w:p w14:paraId="1B3F2534" w14:textId="77777777" w:rsidR="007070AB" w:rsidRDefault="006A0459">
      <w:pPr>
        <w:pStyle w:val="BodyText"/>
      </w:pPr>
      <w:r>
        <w:t xml:space="preserve">A linear-law correction (Equation (1)) could be attempted to compute the whole-soil LL and PL. However, as mentioned above, data from </w:t>
      </w:r>
      <w:hyperlink w:anchor="ref-Barnes2013">
        <w:r>
          <w:rPr>
            <w:rStyle w:val="Hyperlink"/>
          </w:rPr>
          <w:t>Barnes</w:t>
        </w:r>
      </w:hyperlink>
      <w:r>
        <w:t xml:space="preserve"> (</w:t>
      </w:r>
      <w:hyperlink w:anchor="ref-Barnes2013">
        <w:r>
          <w:rPr>
            <w:rStyle w:val="Hyperlink"/>
          </w:rPr>
          <w:t>2013</w:t>
        </w:r>
      </w:hyperlink>
      <w:r>
        <w:t>) s</w:t>
      </w:r>
      <w:r>
        <w:t>uggests the linear law may be invalid for oversize content as low as 10%. Infield mixes usually contain 50-80% sand (</w:t>
      </w:r>
      <w:hyperlink w:anchor="ref-Schroder2012">
        <w:r>
          <w:rPr>
            <w:rStyle w:val="Hyperlink"/>
          </w:rPr>
          <w:t>Schroder, 2012</w:t>
        </w:r>
      </w:hyperlink>
      <w:r>
        <w:t xml:space="preserve">), so the finding by </w:t>
      </w:r>
      <w:hyperlink w:anchor="ref-Barnes2013">
        <w:r>
          <w:rPr>
            <w:rStyle w:val="Hyperlink"/>
          </w:rPr>
          <w:t>Barnes</w:t>
        </w:r>
      </w:hyperlink>
      <w:r>
        <w:t xml:space="preserve"> (</w:t>
      </w:r>
      <w:hyperlink w:anchor="ref-Barnes2013">
        <w:r>
          <w:rPr>
            <w:rStyle w:val="Hyperlink"/>
          </w:rPr>
          <w:t>2013</w:t>
        </w:r>
      </w:hyperlink>
      <w:r>
        <w:t>) suggests a linear correction is unreliable for infield mixes.</w:t>
      </w:r>
    </w:p>
    <w:p w14:paraId="69EF28B3" w14:textId="77777777" w:rsidR="007070AB" w:rsidRDefault="006A0459">
      <w:pPr>
        <w:pStyle w:val="BodyText"/>
      </w:pPr>
      <w:r>
        <w:t>The washing procedure also increases the time needed to perform the test. In a commercial lab this increases labor costs, and in academic research it reduces the number of</w:t>
      </w:r>
      <w:r>
        <w:t xml:space="preserve"> samples which can be tested.</w:t>
      </w:r>
    </w:p>
    <w:p w14:paraId="3054116D" w14:textId="77777777" w:rsidR="007070AB" w:rsidRDefault="006A0459">
      <w:pPr>
        <w:pStyle w:val="Heading2"/>
      </w:pPr>
      <w:bookmarkStart w:id="10" w:name="X01909b63346f0f9ca24e5a61ad5a0cd201d1186"/>
      <w:bookmarkStart w:id="11" w:name="_Toc84992824"/>
      <w:bookmarkEnd w:id="8"/>
      <w:r>
        <w:t>Previous research on coarse fraction influence on Atterberg limits</w:t>
      </w:r>
      <w:bookmarkEnd w:id="11"/>
    </w:p>
    <w:p w14:paraId="2D8B4795" w14:textId="77777777" w:rsidR="007070AB" w:rsidRDefault="006A0459">
      <w:pPr>
        <w:pStyle w:val="FirstParagraph"/>
      </w:pPr>
      <w:r>
        <w:t>Atterberg limit tests are used to characterize the fine-grained fraction of a soil (silt and clay). However, the nature of any coarser particles present also a</w:t>
      </w:r>
      <w:r>
        <w:t>ffects a soil’s plasticity (</w:t>
      </w:r>
      <w:hyperlink w:anchor="ref-Dumbleton1966a">
        <w:r>
          <w:rPr>
            <w:rStyle w:val="Hyperlink"/>
          </w:rPr>
          <w:t>Dumbleton, 1966</w:t>
        </w:r>
      </w:hyperlink>
      <w:r>
        <w:t>).    Experiments have tested the effects of particle size, particle shape, and particle size uniformity. All three variables have been shown to affect the LL and PL of a s</w:t>
      </w:r>
      <w:r>
        <w:t>oil. Several of these studies are next discussed.</w:t>
      </w:r>
    </w:p>
    <w:p w14:paraId="3FBA9416" w14:textId="77777777" w:rsidR="007070AB" w:rsidRDefault="006A0459">
      <w:pPr>
        <w:pStyle w:val="Heading3"/>
      </w:pPr>
      <w:bookmarkStart w:id="12" w:name="effect-of-coarse-fraction-particle-size"/>
      <w:bookmarkStart w:id="13" w:name="_Toc84992825"/>
      <w:r>
        <w:t>Effect of coarse fraction particle size</w:t>
      </w:r>
      <w:bookmarkEnd w:id="13"/>
    </w:p>
    <w:p w14:paraId="58015CAE" w14:textId="77777777" w:rsidR="007070AB" w:rsidRDefault="006A0459">
      <w:pPr>
        <w:pStyle w:val="FirstParagraph"/>
      </w:pPr>
      <w:hyperlink w:anchor="ref-Dumbleton1966b">
        <w:r>
          <w:rPr>
            <w:rStyle w:val="Hyperlink"/>
          </w:rPr>
          <w:t>Dumbleton and West</w:t>
        </w:r>
      </w:hyperlink>
      <w:r>
        <w:t xml:space="preserve"> (</w:t>
      </w:r>
      <w:hyperlink w:anchor="ref-Dumbleton1966b">
        <w:r>
          <w:rPr>
            <w:rStyle w:val="Hyperlink"/>
          </w:rPr>
          <w:t>1966</w:t>
        </w:r>
      </w:hyperlink>
      <w:r>
        <w:t xml:space="preserve">) tested mixes containing sand or silt (both natural quartz </w:t>
      </w:r>
      <w:r>
        <w:t>and glass spheres) with either kaolinite or montmorillonite clay. For the same percent “coarse addition,” smaller glass spheres (D</w:t>
      </w:r>
      <w:r>
        <w:rPr>
          <w:vertAlign w:val="subscript"/>
        </w:rPr>
        <w:t>50</w:t>
      </w:r>
      <w:r>
        <w:t xml:space="preserve"> = 350 μm) caused a greater change in the LL or PL compared to larger spheres (D</w:t>
      </w:r>
      <w:r>
        <w:rPr>
          <w:vertAlign w:val="subscript"/>
        </w:rPr>
        <w:t>50</w:t>
      </w:r>
      <w:r>
        <w:t xml:space="preserve"> = 110 μm). Silt-sized particles caused ev</w:t>
      </w:r>
      <w:r>
        <w:t>en larger changes in LL and PL.</w:t>
      </w:r>
    </w:p>
    <w:p w14:paraId="629B73DA" w14:textId="77777777" w:rsidR="007070AB" w:rsidRDefault="006A0459">
      <w:pPr>
        <w:pStyle w:val="BodyText"/>
      </w:pPr>
      <w:hyperlink w:anchor="ref-Sivapullaiah1985">
        <w:r>
          <w:rPr>
            <w:rStyle w:val="Hyperlink"/>
          </w:rPr>
          <w:t>Sivapullaiah and Sridharan</w:t>
        </w:r>
      </w:hyperlink>
      <w:r>
        <w:t xml:space="preserve"> (</w:t>
      </w:r>
      <w:hyperlink w:anchor="ref-Sivapullaiah1985">
        <w:r>
          <w:rPr>
            <w:rStyle w:val="Hyperlink"/>
          </w:rPr>
          <w:t>1985</w:t>
        </w:r>
      </w:hyperlink>
      <w:r>
        <w:t>) also mixed coarse particles with clays. Both the LL and PL were affected by the size of the added partic</w:t>
      </w:r>
      <w:r>
        <w:t>les. Mixes containing coarser sand (425 μm – 150 μm) adhered more closely to the linear law of mixtures than finer sand (150 μm – 75 μm). Mixes containing added silt deviated further from the linear law.</w:t>
      </w:r>
    </w:p>
    <w:p w14:paraId="09C43208" w14:textId="77777777" w:rsidR="007070AB" w:rsidRDefault="006A0459">
      <w:pPr>
        <w:pStyle w:val="BodyText"/>
      </w:pPr>
      <w:hyperlink w:anchor="ref-Barnes2013">
        <w:r>
          <w:rPr>
            <w:rStyle w:val="Hyperlink"/>
          </w:rPr>
          <w:t>Barnes</w:t>
        </w:r>
      </w:hyperlink>
      <w:r>
        <w:t xml:space="preserve"> (</w:t>
      </w:r>
      <w:hyperlink w:anchor="ref-Barnes2013">
        <w:r>
          <w:rPr>
            <w:rStyle w:val="Hyperlink"/>
          </w:rPr>
          <w:t>2013</w:t>
        </w:r>
      </w:hyperlink>
      <w:r>
        <w:t>) tested mixes of London clay with two grades of sand (425-212 μm or 212-63 μm) or with silt, in 10% increments of coarse particles. All coarse additions raised the plastic limit more than predicted by the linear law. Fine</w:t>
      </w:r>
      <w:r>
        <w:t xml:space="preserve"> sand had a greater effect than coarser sand and the effect of silt was greater than either sand gradation.</w:t>
      </w:r>
    </w:p>
    <w:p w14:paraId="0059A259" w14:textId="77777777" w:rsidR="007070AB" w:rsidRDefault="006A0459">
      <w:pPr>
        <w:pStyle w:val="BodyText"/>
      </w:pPr>
      <w:hyperlink w:anchor="ref-Rehman2020">
        <w:r>
          <w:rPr>
            <w:rStyle w:val="Hyperlink"/>
          </w:rPr>
          <w:t>Rehman et al.</w:t>
        </w:r>
      </w:hyperlink>
      <w:r>
        <w:t xml:space="preserve"> (</w:t>
      </w:r>
      <w:hyperlink w:anchor="ref-Rehman2020">
        <w:r>
          <w:rPr>
            <w:rStyle w:val="Hyperlink"/>
          </w:rPr>
          <w:t>2020</w:t>
        </w:r>
      </w:hyperlink>
      <w:r>
        <w:t>) tested natural soils (not artificial mixtures) sieved</w:t>
      </w:r>
      <w:r>
        <w:t xml:space="preserve"> to either 2 mm or 425 μm. There was little difference in the PL and LL for soils with LL &lt;35. When the LL exceeded 35, greater discrepancies were observed. This result is not surprising given the higher specific surface area of finer particles. The author</w:t>
      </w:r>
      <w:r>
        <w:t>s did not specify whether the sieving procedure was performed wet or dry.</w:t>
      </w:r>
    </w:p>
    <w:p w14:paraId="029EDD56" w14:textId="77777777" w:rsidR="007070AB" w:rsidRDefault="006A0459">
      <w:pPr>
        <w:pStyle w:val="BodyText"/>
      </w:pPr>
      <w:r>
        <w:t xml:space="preserve">Note that with the exception of </w:t>
      </w:r>
      <w:hyperlink w:anchor="ref-Rehman2020">
        <w:r>
          <w:rPr>
            <w:rStyle w:val="Hyperlink"/>
          </w:rPr>
          <w:t>Rehman et al.</w:t>
        </w:r>
      </w:hyperlink>
      <w:r>
        <w:t xml:space="preserve"> (</w:t>
      </w:r>
      <w:hyperlink w:anchor="ref-Rehman2020">
        <w:r>
          <w:rPr>
            <w:rStyle w:val="Hyperlink"/>
          </w:rPr>
          <w:t>2020</w:t>
        </w:r>
      </w:hyperlink>
      <w:r>
        <w:t>)</w:t>
      </w:r>
      <w:r>
        <w:t>, all the above studies used sand exclusively &lt; 425 μm. Collectively, these studies show that silt and finer sand alter Atterberg limits more than coarser sand.</w:t>
      </w:r>
    </w:p>
    <w:p w14:paraId="6A67F71D" w14:textId="77777777" w:rsidR="007070AB" w:rsidRDefault="006A0459">
      <w:pPr>
        <w:pStyle w:val="Heading3"/>
      </w:pPr>
      <w:bookmarkStart w:id="14" w:name="effect-of-coarse-fraction-particle-shape"/>
      <w:bookmarkStart w:id="15" w:name="_Toc84992826"/>
      <w:bookmarkEnd w:id="12"/>
      <w:r>
        <w:t>Effect of coarse fraction particle shape</w:t>
      </w:r>
      <w:bookmarkEnd w:id="15"/>
    </w:p>
    <w:p w14:paraId="7AE8B819" w14:textId="77777777" w:rsidR="007070AB" w:rsidRDefault="006A0459">
      <w:pPr>
        <w:pStyle w:val="FirstParagraph"/>
      </w:pPr>
      <w:r>
        <w:t xml:space="preserve">Particle shape comprises both sphericity (equality of </w:t>
      </w:r>
      <w:r>
        <w:t>dimensions) and roundness (roughness of particle surface).</w:t>
      </w:r>
    </w:p>
    <w:p w14:paraId="3148EBBF" w14:textId="77777777" w:rsidR="007070AB" w:rsidRDefault="006A0459">
      <w:pPr>
        <w:pStyle w:val="BodyText"/>
      </w:pPr>
      <w:r>
        <w:t>Dumbleton and West (</w:t>
      </w:r>
      <w:hyperlink w:anchor="ref-Dumbleton1966b">
        <w:r>
          <w:rPr>
            <w:rStyle w:val="Hyperlink"/>
          </w:rPr>
          <w:t>1966</w:t>
        </w:r>
      </w:hyperlink>
      <w:r>
        <w:t>) studied the influence of the coarse fraction’s shape on Atterberg limits. Particles with irregular shapes increased the liquid and</w:t>
      </w:r>
      <w:r>
        <w:t xml:space="preserve"> plastic limit relative to glass spheres. Increases in the LL and PL were roughly equivalent. For the same mass % coarse addition, PL increases in the plastic limit were observed in the following order: platy silt &gt; bulky silt &gt; angular sand &gt; round sand. </w:t>
      </w:r>
      <w:r>
        <w:t>The authors postulated that platy and angular particles had higher surface area, requiring more water to coat their surfaces before they could slide or flow past one another.</w:t>
      </w:r>
    </w:p>
    <w:p w14:paraId="34776A2E" w14:textId="77777777" w:rsidR="007070AB" w:rsidRDefault="006A0459">
      <w:pPr>
        <w:pStyle w:val="BodyText"/>
      </w:pPr>
      <w:r>
        <w:t xml:space="preserve">Findings by </w:t>
      </w:r>
      <w:hyperlink w:anchor="ref-Sivapullaiah1985">
        <w:r>
          <w:rPr>
            <w:rStyle w:val="Hyperlink"/>
          </w:rPr>
          <w:t>Sivapullaiah and Sridharan</w:t>
        </w:r>
      </w:hyperlink>
      <w:r>
        <w:t xml:space="preserve"> (</w:t>
      </w:r>
      <w:hyperlink w:anchor="ref-Sivapullaiah1985">
        <w:r>
          <w:rPr>
            <w:rStyle w:val="Hyperlink"/>
          </w:rPr>
          <w:t>1985</w:t>
        </w:r>
      </w:hyperlink>
      <w:r>
        <w:t xml:space="preserve">) differ from those of </w:t>
      </w:r>
      <w:hyperlink w:anchor="ref-Dumbleton1966b">
        <w:r>
          <w:rPr>
            <w:rStyle w:val="Hyperlink"/>
          </w:rPr>
          <w:t>Dumbleton and West</w:t>
        </w:r>
      </w:hyperlink>
      <w:r>
        <w:t xml:space="preserve"> (</w:t>
      </w:r>
      <w:hyperlink w:anchor="ref-Dumbleton1966b">
        <w:r>
          <w:rPr>
            <w:rStyle w:val="Hyperlink"/>
          </w:rPr>
          <w:t>1966</w:t>
        </w:r>
      </w:hyperlink>
      <w:r>
        <w:t xml:space="preserve">). </w:t>
      </w:r>
      <w:hyperlink w:anchor="ref-Sivapullaiah1985">
        <w:r>
          <w:rPr>
            <w:rStyle w:val="Hyperlink"/>
          </w:rPr>
          <w:t>Sivapullaiah and Sridharan</w:t>
        </w:r>
      </w:hyperlink>
      <w:r>
        <w:t xml:space="preserve"> (</w:t>
      </w:r>
      <w:hyperlink w:anchor="ref-Sivapullaiah1985">
        <w:r>
          <w:rPr>
            <w:rStyle w:val="Hyperlink"/>
          </w:rPr>
          <w:t>1985</w:t>
        </w:r>
      </w:hyperlink>
      <w:r>
        <w:t>) observed no effect of sand particle shape on the Atterberg limits. These authors mixed either angular or round sand of the same particle size fraction (150 μm – 75 μm) with bentonite clay at sand contents rangin</w:t>
      </w:r>
      <w:r>
        <w:t>g from 20 - 95 %. They reported no difference in the liquid or plastic limits.</w:t>
      </w:r>
    </w:p>
    <w:p w14:paraId="2AF263E7" w14:textId="77777777" w:rsidR="007070AB" w:rsidRDefault="006A0459">
      <w:pPr>
        <w:pStyle w:val="Heading3"/>
      </w:pPr>
      <w:bookmarkStart w:id="16" w:name="X0be5ad538da3e6b44ebc352d4fbf76abc50d740"/>
      <w:bookmarkStart w:id="17" w:name="_Toc84992827"/>
      <w:bookmarkEnd w:id="14"/>
      <w:r>
        <w:t>Effect of the coarse fraction’s particle-size uniformity</w:t>
      </w:r>
      <w:bookmarkEnd w:id="17"/>
    </w:p>
    <w:p w14:paraId="47FE905D" w14:textId="77777777" w:rsidR="007070AB" w:rsidRDefault="006A0459">
      <w:pPr>
        <w:pStyle w:val="FirstParagraph"/>
      </w:pPr>
      <w:r>
        <w:t>Particle-size uniformity is the similarity of diameters among soil particles.  Uniformity has been mathematically define</w:t>
      </w:r>
      <w:r>
        <w:t>d in various ways (</w:t>
      </w:r>
      <w:hyperlink w:anchor="ref-Holtz2010">
        <w:r>
          <w:rPr>
            <w:rStyle w:val="Hyperlink"/>
          </w:rPr>
          <w:t>Holtz et al., 2010</w:t>
        </w:r>
      </w:hyperlink>
      <w:r>
        <w:t>). The coefficient of uniformity (C</w:t>
      </w:r>
      <w:r>
        <w:rPr>
          <w:vertAlign w:val="subscript"/>
        </w:rPr>
        <w:t>u</w:t>
      </w:r>
      <w:r>
        <w:t>) is a commonly used parameter. C</w:t>
      </w:r>
      <w:r>
        <w:rPr>
          <w:vertAlign w:val="subscript"/>
        </w:rPr>
        <w:t>u</w:t>
      </w:r>
      <w:r>
        <w:t xml:space="preserve"> is the ratio between the diameters at which 60% and 10% of the sample is finer:</w:t>
      </w:r>
    </w:p>
    <w:p w14:paraId="6D58D3D7" w14:textId="77777777" w:rsidR="007070AB" w:rsidRDefault="006A0459">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60</m:t>
                  </m:r>
                </m:sub>
              </m:sSub>
            </m:num>
            <m:den>
              <m:sSub>
                <m:sSubPr>
                  <m:ctrlPr>
                    <w:rPr>
                      <w:rFonts w:ascii="Cambria Math" w:hAnsi="Cambria Math"/>
                    </w:rPr>
                  </m:ctrlPr>
                </m:sSubPr>
                <m:e>
                  <m:r>
                    <w:rPr>
                      <w:rFonts w:ascii="Cambria Math" w:hAnsi="Cambria Math"/>
                    </w:rPr>
                    <m:t>D</m:t>
                  </m:r>
                </m:e>
                <m:sub>
                  <m:r>
                    <w:rPr>
                      <w:rFonts w:ascii="Cambria Math" w:hAnsi="Cambria Math"/>
                    </w:rPr>
                    <m:t>10</m:t>
                  </m:r>
                </m:sub>
              </m:sSub>
            </m:den>
          </m:f>
          <m:r>
            <w:rPr>
              <w:rFonts w:ascii="Cambria Math" w:hAnsi="Cambria Math"/>
            </w:rPr>
            <m:t>  </m:t>
          </m:r>
          <m:r>
            <w:rPr>
              <w:rFonts w:ascii="Cambria Math" w:hAnsi="Cambria Math"/>
            </w:rPr>
            <m:t>(2)</m:t>
          </m:r>
        </m:oMath>
      </m:oMathPara>
    </w:p>
    <w:p w14:paraId="779BCFB7" w14:textId="77777777" w:rsidR="007070AB" w:rsidRDefault="006A0459">
      <w:pPr>
        <w:pStyle w:val="FirstParagraph"/>
      </w:pPr>
      <w:r>
        <w:t>Few studies a</w:t>
      </w:r>
      <w:r>
        <w:t>re available on the effect of sand uniformity on Atterberg limits of soil mixtures. This is likely due to the total range of particle sizes permitted in the test. When all sand &gt;425 μm is removed, the total range of sand particle diameters differs by a fac</w:t>
      </w:r>
      <w:r>
        <w:t>tor of just 10. Efficient particle packing - defined as the ability of smaller particles to fit comfortably in the voids between larger particles - is precluded when the majority of particle diameters fall within a single order of magnitude (</w:t>
      </w:r>
      <w:hyperlink w:anchor="ref-Lade1998">
        <w:r>
          <w:rPr>
            <w:rStyle w:val="Hyperlink"/>
          </w:rPr>
          <w:t>Lade et al., 1998</w:t>
        </w:r>
      </w:hyperlink>
      <w:r>
        <w:t>).</w:t>
      </w:r>
    </w:p>
    <w:p w14:paraId="6B37E9C3" w14:textId="77777777" w:rsidR="007070AB" w:rsidRDefault="006A0459">
      <w:pPr>
        <w:pStyle w:val="BodyText"/>
      </w:pPr>
      <w:r>
        <w:t xml:space="preserve">The single study which investigated the effect of sand particle size uniformity on the Atterberg limits found few differences. </w:t>
      </w:r>
      <w:hyperlink w:anchor="ref-Dumbleton1966b">
        <w:r>
          <w:rPr>
            <w:rStyle w:val="Hyperlink"/>
          </w:rPr>
          <w:t>Dumbleton and West</w:t>
        </w:r>
      </w:hyperlink>
      <w:r>
        <w:t xml:space="preserve"> (</w:t>
      </w:r>
      <w:hyperlink w:anchor="ref-Dumbleton1966b">
        <w:r>
          <w:rPr>
            <w:rStyle w:val="Hyperlink"/>
          </w:rPr>
          <w:t>1966</w:t>
        </w:r>
      </w:hyperlink>
      <w:r>
        <w:t>) reported that mixes made with less-uniform sand had similar Atterberg limits to mixes containing sand from a single mesh size. However, all of the sands in their experiment were between 53 and 425 μm, in conformance with the oversize re</w:t>
      </w:r>
      <w:r>
        <w:t xml:space="preserve">moval requirement. Therefore, the sand termed “broadly-graded” (i.e. non-uniform) by </w:t>
      </w:r>
      <w:hyperlink w:anchor="ref-Dumbleton1966b">
        <w:r>
          <w:rPr>
            <w:rStyle w:val="Hyperlink"/>
          </w:rPr>
          <w:t>Dumbleton and West</w:t>
        </w:r>
      </w:hyperlink>
      <w:r>
        <w:t xml:space="preserve"> (</w:t>
      </w:r>
      <w:hyperlink w:anchor="ref-Dumbleton1966b">
        <w:r>
          <w:rPr>
            <w:rStyle w:val="Hyperlink"/>
          </w:rPr>
          <w:t>1966</w:t>
        </w:r>
      </w:hyperlink>
      <w:r>
        <w:t>) was still relatively uniform. A C</w:t>
      </w:r>
      <w:r>
        <w:rPr>
          <w:vertAlign w:val="subscript"/>
        </w:rPr>
        <w:t>u</w:t>
      </w:r>
      <w:r>
        <w:t xml:space="preserve"> </w:t>
      </w:r>
      <w:r>
        <w:t>value was not reported. It is possible that a larger uniformity effect on LL and PL would be observed if coarser sand were included in the mixture to create a higher C</w:t>
      </w:r>
      <w:r>
        <w:rPr>
          <w:vertAlign w:val="subscript"/>
        </w:rPr>
        <w:t>u</w:t>
      </w:r>
      <w:r>
        <w:t>.</w:t>
      </w:r>
    </w:p>
    <w:p w14:paraId="106DD217" w14:textId="77777777" w:rsidR="007070AB" w:rsidRDefault="006A0459">
      <w:pPr>
        <w:pStyle w:val="Heading2"/>
      </w:pPr>
      <w:bookmarkStart w:id="18" w:name="objectives"/>
      <w:bookmarkStart w:id="19" w:name="_Toc84992828"/>
      <w:bookmarkEnd w:id="16"/>
      <w:bookmarkEnd w:id="10"/>
      <w:r>
        <w:t>Objectives</w:t>
      </w:r>
      <w:bookmarkEnd w:id="19"/>
    </w:p>
    <w:p w14:paraId="5F49D2A9" w14:textId="77777777" w:rsidR="007070AB" w:rsidRDefault="006A0459">
      <w:pPr>
        <w:pStyle w:val="FirstParagraph"/>
      </w:pPr>
      <w:r>
        <w:t>Atterberg limit tests on infield mixes would be more comparable across soil</w:t>
      </w:r>
      <w:r>
        <w:t>s if the oversize removal procedure could be eliminated. Streamlining the test procedure could also encourage more widespread use of the tests.</w:t>
      </w:r>
    </w:p>
    <w:p w14:paraId="256B982A" w14:textId="77777777" w:rsidR="007070AB" w:rsidRDefault="006A0459">
      <w:pPr>
        <w:pStyle w:val="BodyText"/>
      </w:pPr>
      <w:r>
        <w:t>The present study was designed to answer two questions:</w:t>
      </w:r>
    </w:p>
    <w:p w14:paraId="3AD4748F" w14:textId="77777777" w:rsidR="007070AB" w:rsidRDefault="006A0459">
      <w:pPr>
        <w:pStyle w:val="Compact"/>
        <w:numPr>
          <w:ilvl w:val="0"/>
          <w:numId w:val="16"/>
        </w:numPr>
      </w:pPr>
      <w:r>
        <w:t>How will the Atterberg limits of soil mixtures would change if the oversize-removal procedure is not performed?</w:t>
      </w:r>
    </w:p>
    <w:p w14:paraId="6B7EDEDD" w14:textId="77777777" w:rsidR="007070AB" w:rsidRDefault="006A0459">
      <w:pPr>
        <w:pStyle w:val="Compact"/>
        <w:numPr>
          <w:ilvl w:val="0"/>
          <w:numId w:val="16"/>
        </w:numPr>
      </w:pPr>
      <w:r>
        <w:t>How do the size, shape and uniformity of the “prohibited” sand particles affect the LL and PL?</w:t>
      </w:r>
    </w:p>
    <w:p w14:paraId="0A37501D" w14:textId="77777777" w:rsidR="007070AB" w:rsidRDefault="006A0459">
      <w:r>
        <w:pict w14:anchorId="61C4F8B7">
          <v:rect id="_x0000_i1025" style="width:0;height:1.5pt" o:hralign="center" o:hrstd="t" o:hr="t"/>
        </w:pict>
      </w:r>
    </w:p>
    <w:p w14:paraId="2934F31D" w14:textId="77777777" w:rsidR="007070AB" w:rsidRDefault="006A0459">
      <w:pPr>
        <w:pStyle w:val="Heading1"/>
      </w:pPr>
      <w:bookmarkStart w:id="20" w:name="materials-and-methods"/>
      <w:bookmarkStart w:id="21" w:name="_Toc84992829"/>
      <w:bookmarkEnd w:id="18"/>
      <w:bookmarkEnd w:id="2"/>
      <w:r>
        <w:t>Materials and methods</w:t>
      </w:r>
      <w:bookmarkEnd w:id="21"/>
    </w:p>
    <w:p w14:paraId="321C6D9A" w14:textId="77777777" w:rsidR="007070AB" w:rsidRDefault="006A0459">
      <w:pPr>
        <w:pStyle w:val="FirstParagraph"/>
      </w:pPr>
      <w:r>
        <w:t>This study comprised thre</w:t>
      </w:r>
      <w:r>
        <w:t>e total experiments to evaluate the effects of sand/silt particle size, sand shape, and sand uniformity on the Atterberg limits of sand-clay mitures.</w:t>
      </w:r>
    </w:p>
    <w:p w14:paraId="2AB14CF4" w14:textId="77777777" w:rsidR="007070AB" w:rsidRDefault="006A0459">
      <w:pPr>
        <w:pStyle w:val="Heading2"/>
      </w:pPr>
      <w:bookmarkStart w:id="22" w:name="experiment-1-mixture-components"/>
      <w:bookmarkStart w:id="23" w:name="_Toc84992830"/>
      <w:r>
        <w:t>Experiment 1 mixture components</w:t>
      </w:r>
      <w:bookmarkEnd w:id="23"/>
    </w:p>
    <w:p w14:paraId="26157B67" w14:textId="77777777" w:rsidR="007070AB" w:rsidRDefault="006A0459">
      <w:pPr>
        <w:pStyle w:val="FirstParagraph"/>
      </w:pPr>
      <w:r>
        <w:t>An angular quartz sand was repeatedly sieved to separate it into 5 size cl</w:t>
      </w:r>
      <w:r>
        <w:t>asses (2-1, 1-0.5, 0.5-0.25, 0.25-0.15, and 0.15-0.053 mm). Silt-size material(&lt;0.053 mm) was obtained from a wholesale ceramic supplier as Sil-co-sil 52 crushed silica.</w:t>
      </w:r>
    </w:p>
    <w:p w14:paraId="0EFACBF6" w14:textId="77777777" w:rsidR="007070AB" w:rsidRDefault="006A0459">
      <w:pPr>
        <w:pStyle w:val="BodyText"/>
      </w:pPr>
      <w:r>
        <w:t>Figure 2 shows photomicrographs of the 0.5-1 mm diameter sand particles used in Experi</w:t>
      </w:r>
      <w:r>
        <w:t>ments 1 and 2.</w:t>
      </w:r>
    </w:p>
    <w:p w14:paraId="5DAB6C7B" w14:textId="77777777" w:rsidR="007070AB" w:rsidRDefault="006A0459">
      <w:pPr>
        <w:pStyle w:val="CaptionedFigure"/>
      </w:pPr>
      <w:r>
        <w:rPr>
          <w:noProof/>
        </w:rPr>
        <w:drawing>
          <wp:inline distT="0" distB="0" distL="0" distR="0" wp14:anchorId="159F56CB" wp14:editId="07777777">
            <wp:extent cx="5943600" cy="2236205"/>
            <wp:effectExtent l="0" t="0" r="0" b="0"/>
            <wp:docPr id="2092639267" name="Picture" descr="Figure 2: A. Angular sand used for Experiments 1 and 2. B. Round sand used for Experiment 2."/>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image-figs/sand-photo-micrographs.png"/>
                    <pic:cNvPicPr>
                      <a:picLocks noChangeAspect="1" noChangeArrowheads="1"/>
                    </pic:cNvPicPr>
                  </pic:nvPicPr>
                  <pic:blipFill>
                    <a:blip r:embed="rId8"/>
                    <a:stretch>
                      <a:fillRect/>
                    </a:stretch>
                  </pic:blipFill>
                  <pic:spPr bwMode="auto">
                    <a:xfrm>
                      <a:off x="0" y="0"/>
                      <a:ext cx="5943600" cy="2236205"/>
                    </a:xfrm>
                    <a:prstGeom prst="rect">
                      <a:avLst/>
                    </a:prstGeom>
                    <a:noFill/>
                    <a:ln w="9525">
                      <a:noFill/>
                      <a:headEnd/>
                      <a:tailEnd/>
                    </a:ln>
                  </pic:spPr>
                </pic:pic>
              </a:graphicData>
            </a:graphic>
          </wp:inline>
        </w:drawing>
      </w:r>
    </w:p>
    <w:p w14:paraId="03A7CC66" w14:textId="77777777" w:rsidR="007070AB" w:rsidRDefault="006A0459">
      <w:pPr>
        <w:pStyle w:val="ImageCaption"/>
      </w:pPr>
      <w:r>
        <w:t xml:space="preserve">Figure 2: </w:t>
      </w:r>
      <w:r>
        <w:rPr>
          <w:b/>
          <w:bCs/>
        </w:rPr>
        <w:t>A.</w:t>
      </w:r>
      <w:r>
        <w:t xml:space="preserve"> Angular sand used for Experiments 1 and 2. </w:t>
      </w:r>
      <w:r>
        <w:rPr>
          <w:b/>
          <w:bCs/>
        </w:rPr>
        <w:t>B.</w:t>
      </w:r>
      <w:r>
        <w:t xml:space="preserve"> Round sand used for Experiment 2.</w:t>
      </w:r>
    </w:p>
    <w:p w14:paraId="27DA8E22" w14:textId="77777777" w:rsidR="007070AB" w:rsidRDefault="006A0459">
      <w:pPr>
        <w:pStyle w:val="BodyText"/>
      </w:pPr>
      <w:r>
        <w:t>The chosen size classes correspond to particle diameters used in the United States Golf Association method for putting green construction (</w:t>
      </w:r>
      <w:hyperlink w:anchor="ref-USGA2018">
        <w:r>
          <w:rPr>
            <w:rStyle w:val="Hyperlink"/>
          </w:rPr>
          <w:t>USGA, 2018</w:t>
        </w:r>
      </w:hyperlink>
      <w:r>
        <w:t>). This specification is familiar to sports field managers and is often referenced when comparing infield mixes. Table ?? shows the range of the 6 total size bins. Note that these size classes are identical to those in</w:t>
      </w:r>
      <w:r>
        <w:t xml:space="preserve"> the USDA Soil Taxonomy scheme, with the exceptions of fine and very fine sand. The USGA uses 0.15 mm (#100 sieve) as the relevant boundary, while the USDA uses 0.100 mm (#140 sieve) (</w:t>
      </w:r>
      <w:hyperlink w:anchor="ref-USDA1999">
        <w:r>
          <w:rPr>
            <w:rStyle w:val="Hyperlink"/>
          </w:rPr>
          <w:t>Soil Survey Staff - NRCS/USDA, 1999</w:t>
        </w:r>
      </w:hyperlink>
      <w:r>
        <w:t xml:space="preserve">; </w:t>
      </w:r>
      <w:hyperlink w:anchor="ref-USGA2018">
        <w:r>
          <w:rPr>
            <w:rStyle w:val="Hyperlink"/>
          </w:rPr>
          <w:t>USGA, 2018</w:t>
        </w:r>
      </w:hyperlink>
      <w:r>
        <w:t>).</w:t>
      </w:r>
    </w:p>
    <w:p w14:paraId="02EB378F" w14:textId="77777777" w:rsidR="007070AB" w:rsidRDefault="006A0459">
      <w:pPr>
        <w:pStyle w:val="BodyText"/>
      </w:pPr>
      <w:r>
        <w:rPr>
          <w:noProof/>
        </w:rPr>
        <w:drawing>
          <wp:inline distT="0" distB="0" distL="0" distR="0" wp14:anchorId="6BEB45C8" wp14:editId="07777777">
            <wp:extent cx="3033728" cy="779839"/>
            <wp:effectExtent l="0" t="0" r="0" b="0"/>
            <wp:docPr id="39371093"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ANWZCV\file4c54742d5cc7.png"/>
                    <pic:cNvPicPr>
                      <a:picLocks noChangeAspect="1" noChangeArrowheads="1"/>
                    </pic:cNvPicPr>
                  </pic:nvPicPr>
                  <pic:blipFill>
                    <a:blip r:embed="rId9"/>
                    <a:stretch>
                      <a:fillRect/>
                    </a:stretch>
                  </pic:blipFill>
                  <pic:spPr bwMode="auto">
                    <a:xfrm>
                      <a:off x="0" y="0"/>
                      <a:ext cx="3033728" cy="779839"/>
                    </a:xfrm>
                    <a:prstGeom prst="rect">
                      <a:avLst/>
                    </a:prstGeom>
                    <a:noFill/>
                    <a:ln w="9525">
                      <a:noFill/>
                      <a:headEnd/>
                      <a:tailEnd/>
                    </a:ln>
                  </pic:spPr>
                </pic:pic>
              </a:graphicData>
            </a:graphic>
          </wp:inline>
        </w:drawing>
      </w:r>
    </w:p>
    <w:p w14:paraId="5F34C80D" w14:textId="77777777" w:rsidR="007070AB" w:rsidRDefault="006A0459">
      <w:pPr>
        <w:pStyle w:val="BodyText"/>
      </w:pPr>
      <w:r>
        <w:t>To verify the cleanliness of each coarse fraction, a complete particle size analysis was performed on each material. Figure 3 shows the samples were highly uniform, although each contained small traces of p</w:t>
      </w:r>
      <w:r>
        <w:t>articles above and below its primary size fraction. D</w:t>
      </w:r>
      <w:r>
        <w:rPr>
          <w:vertAlign w:val="subscript"/>
        </w:rPr>
        <w:t>50</w:t>
      </w:r>
      <w:r>
        <w:t xml:space="preserve"> values were determined graphically from Figure 3.</w:t>
      </w:r>
    </w:p>
    <w:p w14:paraId="6A05A809" w14:textId="77777777" w:rsidR="007070AB" w:rsidRDefault="006A0459">
      <w:pPr>
        <w:pStyle w:val="CaptionedFigure"/>
      </w:pPr>
      <w:r>
        <w:rPr>
          <w:noProof/>
        </w:rPr>
        <w:drawing>
          <wp:inline distT="0" distB="0" distL="0" distR="0" wp14:anchorId="4206AFB2" wp14:editId="07777777">
            <wp:extent cx="5943600" cy="3344401"/>
            <wp:effectExtent l="0" t="0" r="0" b="0"/>
            <wp:docPr id="702905147" name="Picture" descr="Figure 3: Particle size distributions of the 6 coarse fractions in Experiment 1. Dashed grey lines indicate D_{50} for a given size fraction."/>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particle-size-curves.png"/>
                    <pic:cNvPicPr>
                      <a:picLocks noChangeAspect="1" noChangeArrowheads="1"/>
                    </pic:cNvPicPr>
                  </pic:nvPicPr>
                  <pic:blipFill>
                    <a:blip r:embed="rId10"/>
                    <a:stretch>
                      <a:fillRect/>
                    </a:stretch>
                  </pic:blipFill>
                  <pic:spPr bwMode="auto">
                    <a:xfrm>
                      <a:off x="0" y="0"/>
                      <a:ext cx="5943600" cy="3344401"/>
                    </a:xfrm>
                    <a:prstGeom prst="rect">
                      <a:avLst/>
                    </a:prstGeom>
                    <a:noFill/>
                    <a:ln w="9525">
                      <a:noFill/>
                      <a:headEnd/>
                      <a:tailEnd/>
                    </a:ln>
                  </pic:spPr>
                </pic:pic>
              </a:graphicData>
            </a:graphic>
          </wp:inline>
        </w:drawing>
      </w:r>
    </w:p>
    <w:p w14:paraId="41EFD3E1" w14:textId="77777777" w:rsidR="007070AB" w:rsidRDefault="006A0459">
      <w:pPr>
        <w:pStyle w:val="ImageCaption"/>
      </w:pPr>
      <w:r>
        <w:t xml:space="preserve">Figure 3: Particle size distributions of the 6 coarse fractions in Experiment 1. Dashed grey lines indicate </w:t>
      </w:r>
      <m:oMath>
        <m:sSub>
          <m:sSubPr>
            <m:ctrlPr>
              <w:rPr>
                <w:rFonts w:ascii="Cambria Math" w:hAnsi="Cambria Math"/>
              </w:rPr>
            </m:ctrlPr>
          </m:sSubPr>
          <m:e>
            <m:r>
              <w:rPr>
                <w:rFonts w:ascii="Cambria Math" w:hAnsi="Cambria Math"/>
              </w:rPr>
              <m:t>D</m:t>
            </m:r>
          </m:e>
          <m:sub>
            <m:r>
              <w:rPr>
                <w:rFonts w:ascii="Cambria Math" w:hAnsi="Cambria Math"/>
              </w:rPr>
              <m:t>50</m:t>
            </m:r>
          </m:sub>
        </m:sSub>
      </m:oMath>
      <w:r>
        <w:t xml:space="preserve"> for a given size fraction.</w:t>
      </w:r>
    </w:p>
    <w:p w14:paraId="7A9380D3" w14:textId="77777777" w:rsidR="007070AB" w:rsidRDefault="006A0459">
      <w:pPr>
        <w:pStyle w:val="BodyText"/>
      </w:pPr>
      <w:r>
        <w:t>The 5 sa</w:t>
      </w:r>
      <w:r>
        <w:t>nd sizes and the silt were mixed with a kaolinitic clay purchased from a ceramic supplier. The materials were combined to yield mixtures having 0, 20, 40, 60, 70, 75, and 80 % sand (or silt) by dry mass.</w:t>
      </w:r>
    </w:p>
    <w:p w14:paraId="008A52D0" w14:textId="77777777" w:rsidR="007070AB" w:rsidRDefault="006A0459">
      <w:pPr>
        <w:pStyle w:val="Heading2"/>
      </w:pPr>
      <w:bookmarkStart w:id="24" w:name="experiment-2-mixture-components"/>
      <w:bookmarkStart w:id="25" w:name="_Toc84992831"/>
      <w:bookmarkEnd w:id="22"/>
      <w:r>
        <w:t>Experiment 2 mixture components</w:t>
      </w:r>
      <w:bookmarkEnd w:id="25"/>
    </w:p>
    <w:p w14:paraId="16D355E2" w14:textId="77777777" w:rsidR="007070AB" w:rsidRDefault="006A0459">
      <w:pPr>
        <w:pStyle w:val="FirstParagraph"/>
      </w:pPr>
      <w:r>
        <w:t xml:space="preserve">Experiment 2 was an </w:t>
      </w:r>
      <w:r>
        <w:t>extension of Experiment 1. A highly rounded quartz sand (Figure 2 B) was mixed with the same kaolin clay . This sand was exclusively 1.0-0.5 mm sieve diameter. The sand percentages by mass were identical to those in Experiment 1 (0, 20, 40, 60, 70, 75, and</w:t>
      </w:r>
      <w:r>
        <w:t xml:space="preserve"> 80). These mixtures were compared with those having the equivalent sand size and sand % for the angular sand/kaolin mixes in Experiment 1.</w:t>
      </w:r>
    </w:p>
    <w:p w14:paraId="18E02960" w14:textId="77777777" w:rsidR="007070AB" w:rsidRDefault="006A0459">
      <w:pPr>
        <w:pStyle w:val="Heading2"/>
      </w:pPr>
      <w:bookmarkStart w:id="26" w:name="experiment-3-mixture-components"/>
      <w:bookmarkStart w:id="27" w:name="_Toc84992832"/>
      <w:bookmarkEnd w:id="24"/>
      <w:r>
        <w:t>Experiment 3 mixture components</w:t>
      </w:r>
      <w:bookmarkEnd w:id="27"/>
    </w:p>
    <w:p w14:paraId="20FFE058" w14:textId="77777777" w:rsidR="007070AB" w:rsidRDefault="006A0459">
      <w:pPr>
        <w:pStyle w:val="FirstParagraph"/>
      </w:pPr>
      <w:r>
        <w:t>The goal of Experiment 3 was to test the effect of sand uniformity for two sands hav</w:t>
      </w:r>
      <w:r>
        <w:t>ing the same D</w:t>
      </w:r>
      <w:r>
        <w:rPr>
          <w:vertAlign w:val="subscript"/>
        </w:rPr>
        <w:t>50</w:t>
      </w:r>
      <w:r>
        <w:t xml:space="preserve"> and chiefly composed of particles &gt;425 μm. Uniformity is commonly defined in terms of the Coefficient of Uniformity (C</w:t>
      </w:r>
      <w:r>
        <w:rPr>
          <w:vertAlign w:val="subscript"/>
        </w:rPr>
        <w:t>u</w:t>
      </w:r>
      <w:r>
        <w:t>):</w:t>
      </w:r>
    </w:p>
    <w:p w14:paraId="3FA23CDF" w14:textId="77777777" w:rsidR="007070AB" w:rsidRDefault="006A0459">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60</m:t>
                  </m:r>
                </m:sub>
              </m:sSub>
            </m:num>
            <m:den>
              <m:sSub>
                <m:sSubPr>
                  <m:ctrlPr>
                    <w:rPr>
                      <w:rFonts w:ascii="Cambria Math" w:hAnsi="Cambria Math"/>
                    </w:rPr>
                  </m:ctrlPr>
                </m:sSubPr>
                <m:e>
                  <m:r>
                    <w:rPr>
                      <w:rFonts w:ascii="Cambria Math" w:hAnsi="Cambria Math"/>
                    </w:rPr>
                    <m:t>D</m:t>
                  </m:r>
                </m:e>
                <m:sub>
                  <m:r>
                    <w:rPr>
                      <w:rFonts w:ascii="Cambria Math" w:hAnsi="Cambria Math"/>
                    </w:rPr>
                    <m:t>10</m:t>
                  </m:r>
                </m:sub>
              </m:sSub>
            </m:den>
          </m:f>
        </m:oMath>
      </m:oMathPara>
    </w:p>
    <w:p w14:paraId="54021682" w14:textId="77777777" w:rsidR="007070AB" w:rsidRDefault="006A0459">
      <w:pPr>
        <w:pStyle w:val="FirstParagraph"/>
      </w:pPr>
      <w:r>
        <w:t>The two sands in Experiment 3 were produced from a single washed concrete sand having a wide particle s</w:t>
      </w:r>
      <w:r>
        <w:t>ize distribution. The material was repeatedly sieved to remove all particles &gt;1 mm and &lt;0.25 mm. The remaining fraction was riffled into two aliquots. The first half remained untouched and was termed the “low-C</w:t>
      </w:r>
      <w:r>
        <w:rPr>
          <w:vertAlign w:val="subscript"/>
        </w:rPr>
        <w:t>u</w:t>
      </w:r>
      <w:r>
        <w:t xml:space="preserve"> sand.” </w:t>
      </w:r>
      <w:r>
        <w:t>The second half had some of the “overs” and “unders” from the original concrete sand returned in order to create a wider PSD. This second material was termed the “high-C</w:t>
      </w:r>
      <w:r>
        <w:rPr>
          <w:vertAlign w:val="subscript"/>
        </w:rPr>
        <w:t>u</w:t>
      </w:r>
      <w:r>
        <w:t xml:space="preserve"> sand.” Figure 4 shows the particle size distributions of the low-C</w:t>
      </w:r>
      <w:r>
        <w:rPr>
          <w:vertAlign w:val="subscript"/>
        </w:rPr>
        <w:t>u</w:t>
      </w:r>
      <w:r>
        <w:t xml:space="preserve"> and high-C</w:t>
      </w:r>
      <w:r>
        <w:rPr>
          <w:vertAlign w:val="subscript"/>
        </w:rPr>
        <w:t>u</w:t>
      </w:r>
      <w:r>
        <w:t xml:space="preserve"> sands</w:t>
      </w:r>
      <w:r>
        <w:t>. These sands meet the criteria of having nearly identical D</w:t>
      </w:r>
      <w:r>
        <w:rPr>
          <w:vertAlign w:val="subscript"/>
        </w:rPr>
        <w:t>50</w:t>
      </w:r>
      <w:r>
        <w:t xml:space="preserve"> values (0.42 mm and 0.49 mm) but different C</w:t>
      </w:r>
      <w:r>
        <w:rPr>
          <w:vertAlign w:val="subscript"/>
        </w:rPr>
        <w:t>u</w:t>
      </w:r>
      <w:r>
        <w:t xml:space="preserve"> values (1.9 vs. 3.9).</w:t>
      </w:r>
    </w:p>
    <w:p w14:paraId="5A39BBE3" w14:textId="77777777" w:rsidR="007070AB" w:rsidRDefault="006A0459">
      <w:pPr>
        <w:pStyle w:val="CaptionedFigure"/>
      </w:pPr>
      <w:r>
        <w:rPr>
          <w:noProof/>
        </w:rPr>
        <w:drawing>
          <wp:inline distT="0" distB="0" distL="0" distR="0" wp14:anchorId="2A495E30" wp14:editId="07777777">
            <wp:extent cx="5504749" cy="3403769"/>
            <wp:effectExtent l="0" t="0" r="0" b="0"/>
            <wp:docPr id="1468108684" name="Picture" descr="Figure 4: Particle size distributions for the two sands and one clay used in Experiment 3. Dashed grey lines indicate D_{50} for each sand."/>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3-particle-size-curves.png"/>
                    <pic:cNvPicPr>
                      <a:picLocks noChangeAspect="1" noChangeArrowheads="1"/>
                    </pic:cNvPicPr>
                  </pic:nvPicPr>
                  <pic:blipFill>
                    <a:blip r:embed="rId11"/>
                    <a:stretch>
                      <a:fillRect/>
                    </a:stretch>
                  </pic:blipFill>
                  <pic:spPr bwMode="auto">
                    <a:xfrm>
                      <a:off x="0" y="0"/>
                      <a:ext cx="5504749" cy="3403769"/>
                    </a:xfrm>
                    <a:prstGeom prst="rect">
                      <a:avLst/>
                    </a:prstGeom>
                    <a:noFill/>
                    <a:ln w="9525">
                      <a:noFill/>
                      <a:headEnd/>
                      <a:tailEnd/>
                    </a:ln>
                  </pic:spPr>
                </pic:pic>
              </a:graphicData>
            </a:graphic>
          </wp:inline>
        </w:drawing>
      </w:r>
    </w:p>
    <w:p w14:paraId="2E266FC7" w14:textId="77777777" w:rsidR="007070AB" w:rsidRDefault="006A0459">
      <w:pPr>
        <w:pStyle w:val="ImageCaption"/>
      </w:pPr>
      <w:r>
        <w:t xml:space="preserve">Figure 4: Particle size distributions for the two sands and one clay used in Experiment 3. Dashed grey lines indicate </w:t>
      </w:r>
      <m:oMath>
        <m:sSub>
          <m:sSubPr>
            <m:ctrlPr>
              <w:rPr>
                <w:rFonts w:ascii="Cambria Math" w:hAnsi="Cambria Math"/>
              </w:rPr>
            </m:ctrlPr>
          </m:sSubPr>
          <m:e>
            <m:r>
              <w:rPr>
                <w:rFonts w:ascii="Cambria Math" w:hAnsi="Cambria Math"/>
              </w:rPr>
              <m:t>D</m:t>
            </m:r>
          </m:e>
          <m:sub>
            <m:r>
              <w:rPr>
                <w:rFonts w:ascii="Cambria Math" w:hAnsi="Cambria Math"/>
              </w:rPr>
              <m:t>50</m:t>
            </m:r>
          </m:sub>
        </m:sSub>
      </m:oMath>
      <w:r>
        <w:t xml:space="preserve"> </w:t>
      </w:r>
      <w:r>
        <w:t>for each sand.</w:t>
      </w:r>
    </w:p>
    <w:p w14:paraId="6FB1F0BB" w14:textId="77777777" w:rsidR="007070AB" w:rsidRDefault="006A0459">
      <w:pPr>
        <w:pStyle w:val="BodyText"/>
      </w:pPr>
      <w:r>
        <w:t xml:space="preserve">X-ray diffraction showed that the mineralogy of the clay material in Experiment 3 was predominantly illite and mixed-layer illite/smectite (I/S). Its PL was 18 and its LL was 30, for a PI of 12. The clay soil was air-dried and pulverized to </w:t>
      </w:r>
      <w:r>
        <w:t>pass a 0.25 mm screen.</w:t>
      </w:r>
    </w:p>
    <w:p w14:paraId="74C76EB6" w14:textId="77777777" w:rsidR="007070AB" w:rsidRDefault="006A0459">
      <w:pPr>
        <w:pStyle w:val="Heading2"/>
      </w:pPr>
      <w:bookmarkStart w:id="28" w:name="component-characterization"/>
      <w:bookmarkStart w:id="29" w:name="_Toc84992833"/>
      <w:bookmarkEnd w:id="26"/>
      <w:r>
        <w:t>Component characterization</w:t>
      </w:r>
      <w:bookmarkEnd w:id="29"/>
    </w:p>
    <w:p w14:paraId="4B9C365A" w14:textId="77777777" w:rsidR="007070AB" w:rsidRDefault="006A0459">
      <w:pPr>
        <w:pStyle w:val="FirstParagraph"/>
      </w:pPr>
      <w:r>
        <w:t xml:space="preserve">Particle size analyses were performed on both clays and all coarse additions according to </w:t>
      </w:r>
      <w:hyperlink w:anchor="ref-Gee2002">
        <w:r>
          <w:rPr>
            <w:rStyle w:val="Hyperlink"/>
          </w:rPr>
          <w:t>Gee and Or</w:t>
        </w:r>
      </w:hyperlink>
      <w:r>
        <w:t xml:space="preserve"> (</w:t>
      </w:r>
      <w:hyperlink w:anchor="ref-Gee2002">
        <w:r>
          <w:rPr>
            <w:rStyle w:val="Hyperlink"/>
          </w:rPr>
          <w:t>2002</w:t>
        </w:r>
      </w:hyperlink>
      <w:r>
        <w:t xml:space="preserve">). </w:t>
      </w:r>
      <w:r>
        <w:t>Semi-quantitative X-ray diffraction data were obtained on oriented specimen mounts prepared with a suction apparatus (</w:t>
      </w:r>
      <w:hyperlink w:anchor="ref-Moore1997">
        <w:r>
          <w:rPr>
            <w:rStyle w:val="Hyperlink"/>
          </w:rPr>
          <w:t>Moore and Reynolds, 1997</w:t>
        </w:r>
      </w:hyperlink>
      <w:r>
        <w:t>).</w:t>
      </w:r>
    </w:p>
    <w:p w14:paraId="2716CC82" w14:textId="77777777" w:rsidR="007070AB" w:rsidRDefault="006A0459">
      <w:pPr>
        <w:pStyle w:val="BodyText"/>
      </w:pPr>
      <w:r>
        <w:t>m Minimum and maximum density tests were performed to characterize the part</w:t>
      </w:r>
      <w:r>
        <w:t>icle packing obtainable from the low-C</w:t>
      </w:r>
      <w:r>
        <w:rPr>
          <w:vertAlign w:val="subscript"/>
        </w:rPr>
        <w:t>u</w:t>
      </w:r>
      <w:r>
        <w:t xml:space="preserve"> and high-C</w:t>
      </w:r>
      <w:r>
        <w:rPr>
          <w:vertAlign w:val="subscript"/>
        </w:rPr>
        <w:t>u</w:t>
      </w:r>
      <w:r>
        <w:t xml:space="preserve"> sands. The methods employed were modified versions of ASTM D4254 and F1815 (</w:t>
      </w:r>
      <w:hyperlink w:anchor="ref-ASTMF1815-11">
        <w:r>
          <w:rPr>
            <w:rStyle w:val="Hyperlink"/>
          </w:rPr>
          <w:t>ASTM International, 2011</w:t>
        </w:r>
      </w:hyperlink>
      <w:r>
        <w:t>, ). In the minimum density test, the air-dry sand was gently pou</w:t>
      </w:r>
      <w:r>
        <w:t>red through a funnel into an 11.4-cm high cylinder. The surface was leveled with a straight edge and the sample was weighed. The F1815 test was performed both at 8 % gravimetric water content (as required by the protocol) and also on air-dry sand. The air-</w:t>
      </w:r>
      <w:r>
        <w:t>dry test produced greater compaction for all materials, so these are the values presented. Table ?? shows the porosity values attained for each test.</w:t>
      </w:r>
    </w:p>
    <w:p w14:paraId="41C8F396" w14:textId="77777777" w:rsidR="007070AB" w:rsidRDefault="006A0459">
      <w:pPr>
        <w:pStyle w:val="BodyText"/>
      </w:pPr>
      <w:r>
        <w:rPr>
          <w:noProof/>
        </w:rPr>
        <w:drawing>
          <wp:inline distT="0" distB="0" distL="0" distR="0" wp14:anchorId="511A517D" wp14:editId="07777777">
            <wp:extent cx="3033728" cy="513776"/>
            <wp:effectExtent l="0" t="0" r="0" b="0"/>
            <wp:docPr id="1195241359"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ANWZCV\file4c544bec2df1.png"/>
                    <pic:cNvPicPr>
                      <a:picLocks noChangeAspect="1" noChangeArrowheads="1"/>
                    </pic:cNvPicPr>
                  </pic:nvPicPr>
                  <pic:blipFill>
                    <a:blip r:embed="rId12"/>
                    <a:stretch>
                      <a:fillRect/>
                    </a:stretch>
                  </pic:blipFill>
                  <pic:spPr bwMode="auto">
                    <a:xfrm>
                      <a:off x="0" y="0"/>
                      <a:ext cx="3033728" cy="513776"/>
                    </a:xfrm>
                    <a:prstGeom prst="rect">
                      <a:avLst/>
                    </a:prstGeom>
                    <a:noFill/>
                    <a:ln w="9525">
                      <a:noFill/>
                      <a:headEnd/>
                      <a:tailEnd/>
                    </a:ln>
                  </pic:spPr>
                </pic:pic>
              </a:graphicData>
            </a:graphic>
          </wp:inline>
        </w:drawing>
      </w:r>
    </w:p>
    <w:p w14:paraId="37E1A5A7" w14:textId="77777777" w:rsidR="007070AB" w:rsidRDefault="006A0459">
      <w:pPr>
        <w:pStyle w:val="Heading2"/>
      </w:pPr>
      <w:bookmarkStart w:id="30" w:name="mixtures-and-atterberg-limit-tests"/>
      <w:bookmarkStart w:id="31" w:name="_Toc84992834"/>
      <w:bookmarkEnd w:id="28"/>
      <w:r>
        <w:t>Mixtures and Atterberg limit tests</w:t>
      </w:r>
      <w:bookmarkEnd w:id="31"/>
    </w:p>
    <w:p w14:paraId="4A775839" w14:textId="77777777" w:rsidR="007070AB" w:rsidRDefault="006A0459">
      <w:pPr>
        <w:pStyle w:val="FirstParagraph"/>
      </w:pPr>
      <w:r>
        <w:t>The mixtures were blended in an air-dry condition. Corrections for th</w:t>
      </w:r>
      <w:r>
        <w:t>e hygroscopic water content and sand content of the clay components were included when calculating the mixing ratios. Equations (3)-(4) show the formulas used to determine the air-dry masses for each component:</w:t>
      </w:r>
    </w:p>
    <w:p w14:paraId="5BEF4587" w14:textId="77777777" w:rsidR="007070AB" w:rsidRDefault="006A0459">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Sand air-dry mass (g)</m:t>
                </m:r>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final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num>
                  <m:den>
                    <m:sSub>
                      <m:sSubPr>
                        <m:ctrlPr>
                          <w:rPr>
                            <w:rFonts w:ascii="Cambria Math" w:hAnsi="Cambria Math"/>
                          </w:rPr>
                        </m:ctrlPr>
                      </m:sSubPr>
                      <m:e>
                        <m:r>
                          <w:rPr>
                            <w:rFonts w:ascii="Cambria Math" w:hAnsi="Cambria Math"/>
                          </w:rPr>
                          <m:t>S</m:t>
                        </m:r>
                      </m:e>
                      <m:sub>
                        <m:r>
                          <w:rPr>
                            <w:rFonts w:ascii="Cambria Math" w:hAnsi="Cambria Math"/>
                          </w:rPr>
                          <m:t>sand</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den>
                </m:f>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total</m:t>
                    </m:r>
                    <m:r>
                      <w:rPr>
                        <w:rFonts w:ascii="Cambria Math" w:hAnsi="Cambria Math"/>
                      </w:rPr>
                      <m:t> </m:t>
                    </m:r>
                    <m:r>
                      <w:rPr>
                        <w:rFonts w:ascii="Cambria Math" w:hAnsi="Cambria Math"/>
                      </w:rPr>
                      <m:t>mixture</m:t>
                    </m:r>
                    <m:r>
                      <w:rPr>
                        <w:rFonts w:ascii="Cambria Math" w:hAnsi="Cambria Math"/>
                      </w:rPr>
                      <m:t> </m:t>
                    </m:r>
                    <m:r>
                      <w:rPr>
                        <w:rFonts w:ascii="Cambria Math" w:hAnsi="Cambria Math"/>
                      </w:rPr>
                      <m:t>(</m:t>
                    </m:r>
                    <m:r>
                      <w:rPr>
                        <w:rFonts w:ascii="Cambria Math" w:hAnsi="Cambria Math"/>
                      </w:rPr>
                      <m:t>g</m:t>
                    </m:r>
                    <m:r>
                      <w:rPr>
                        <w:rFonts w:ascii="Cambria Math" w:hAnsi="Cambria Math"/>
                      </w:rPr>
                      <m:t>)</m:t>
                    </m:r>
                  </m:sub>
                </m:sSub>
                <m:r>
                  <w:rPr>
                    <w:rFonts w:ascii="Cambria Math" w:hAnsi="Cambria Math"/>
                  </w:rPr>
                  <m:t>⋅</m:t>
                </m:r>
                <m: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sand</m:t>
                    </m:r>
                  </m:sub>
                </m:sSub>
                <m:r>
                  <w:rPr>
                    <w:rFonts w:ascii="Cambria Math" w:hAnsi="Cambria Math"/>
                  </w:rPr>
                  <m:t>)  (3)</m:t>
                </m:r>
              </m:e>
            </m:mr>
            <m:mr>
              <m:e/>
              <m:e/>
            </m:mr>
            <m:mr>
              <m:e>
                <m:r>
                  <m:rPr>
                    <m:nor/>
                  </m:rPr>
                  <m:t>Clay air-dry mass (g)</m:t>
                </m:r>
              </m:e>
              <m:e>
                <m:r>
                  <w:rPr>
                    <w:rFonts w:ascii="Cambria Math" w:hAnsi="Cambria Math"/>
                  </w:rPr>
                  <m:t>=</m:t>
                </m:r>
                <m:d>
                  <m:dPr>
                    <m:begChr m:val="["/>
                    <m:endChr m:val="]"/>
                    <m:ctrlPr>
                      <w:rPr>
                        <w:rFonts w:ascii="Cambria Math" w:hAnsi="Cambria Math"/>
                      </w:rPr>
                    </m:ctrlPr>
                  </m:dPr>
                  <m:e>
                    <m:r>
                      <w:rPr>
                        <w:rFonts w:ascii="Cambria Math" w:hAnsi="Cambria Math"/>
                      </w:rPr>
                      <m:t>1-</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final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num>
                          <m:den>
                            <m:sSub>
                              <m:sSubPr>
                                <m:ctrlPr>
                                  <w:rPr>
                                    <w:rFonts w:ascii="Cambria Math" w:hAnsi="Cambria Math"/>
                                  </w:rPr>
                                </m:ctrlPr>
                              </m:sSubPr>
                              <m:e>
                                <m:r>
                                  <w:rPr>
                                    <w:rFonts w:ascii="Cambria Math" w:hAnsi="Cambria Math"/>
                                  </w:rPr>
                                  <m:t>S</m:t>
                                </m:r>
                              </m:e>
                              <m:sub>
                                <m:r>
                                  <w:rPr>
                                    <w:rFonts w:ascii="Cambria Math" w:hAnsi="Cambria Math"/>
                                  </w:rPr>
                                  <m:t>sand</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den>
                        </m:f>
                      </m:e>
                    </m:d>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total</m:t>
                    </m:r>
                    <m:r>
                      <w:rPr>
                        <w:rFonts w:ascii="Cambria Math" w:hAnsi="Cambria Math"/>
                      </w:rPr>
                      <m:t> </m:t>
                    </m:r>
                    <m:r>
                      <w:rPr>
                        <w:rFonts w:ascii="Cambria Math" w:hAnsi="Cambria Math"/>
                      </w:rPr>
                      <m:t>mixture</m:t>
                    </m:r>
                    <m:r>
                      <w:rPr>
                        <w:rFonts w:ascii="Cambria Math" w:hAnsi="Cambria Math"/>
                      </w:rPr>
                      <m:t> </m:t>
                    </m:r>
                    <m:r>
                      <w:rPr>
                        <w:rFonts w:ascii="Cambria Math" w:hAnsi="Cambria Math"/>
                      </w:rPr>
                      <m:t>(</m:t>
                    </m:r>
                    <m:r>
                      <w:rPr>
                        <w:rFonts w:ascii="Cambria Math" w:hAnsi="Cambria Math"/>
                      </w:rPr>
                      <m:t>g</m:t>
                    </m:r>
                    <m:r>
                      <w:rPr>
                        <w:rFonts w:ascii="Cambria Math" w:hAnsi="Cambria Math"/>
                      </w:rPr>
                      <m:t>)</m:t>
                    </m:r>
                  </m:sub>
                </m:sSub>
                <m:r>
                  <w:rPr>
                    <w:rFonts w:ascii="Cambria Math" w:hAnsi="Cambria Math"/>
                  </w:rPr>
                  <m:t>⋅</m:t>
                </m:r>
                <m: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clay</m:t>
                    </m:r>
                  </m:sub>
                </m:sSub>
                <m:r>
                  <w:rPr>
                    <w:rFonts w:ascii="Cambria Math" w:hAnsi="Cambria Math"/>
                  </w:rPr>
                  <m:t>)  (4)</m:t>
                </m:r>
              </m:e>
            </m:mr>
          </m:m>
        </m:oMath>
      </m:oMathPara>
    </w:p>
    <w:p w14:paraId="234F4226" w14:textId="77777777" w:rsidR="007070AB" w:rsidRDefault="006A0459">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final</m:t>
            </m:r>
          </m:sub>
        </m:sSub>
      </m:oMath>
      <w:r>
        <w:t xml:space="preserve"> is the final mixture’s sand percentage as</w:t>
      </w:r>
      <w:r>
        <w:t xml:space="preserve"> a decimal, </w:t>
      </w:r>
      <m:oMath>
        <m:sSub>
          <m:sSubPr>
            <m:ctrlPr>
              <w:rPr>
                <w:rFonts w:ascii="Cambria Math" w:hAnsi="Cambria Math"/>
              </w:rPr>
            </m:ctrlPr>
          </m:sSubPr>
          <m:e>
            <m:r>
              <w:rPr>
                <w:rFonts w:ascii="Cambria Math" w:hAnsi="Cambria Math"/>
              </w:rPr>
              <m:t>S</m:t>
            </m:r>
          </m:e>
          <m:sub>
            <m:r>
              <w:rPr>
                <w:rFonts w:ascii="Cambria Math" w:hAnsi="Cambria Math"/>
              </w:rPr>
              <m:t>sand</m:t>
            </m:r>
          </m:sub>
        </m:sSub>
      </m:oMath>
      <w:r>
        <w:t xml:space="preserve"> is the mass fraction of the sand/silt component &gt; 53 μm as a decimal, </w:t>
      </w:r>
      <m:oMath>
        <m:sSub>
          <m:sSubPr>
            <m:ctrlPr>
              <w:rPr>
                <w:rFonts w:ascii="Cambria Math" w:hAnsi="Cambria Math"/>
              </w:rPr>
            </m:ctrlPr>
          </m:sSubPr>
          <m:e>
            <m:r>
              <w:rPr>
                <w:rFonts w:ascii="Cambria Math" w:hAnsi="Cambria Math"/>
              </w:rPr>
              <m:t>S</m:t>
            </m:r>
          </m:e>
          <m:sub>
            <m:r>
              <w:rPr>
                <w:rFonts w:ascii="Cambria Math" w:hAnsi="Cambria Math"/>
              </w:rPr>
              <m:t>clay</m:t>
            </m:r>
          </m:sub>
        </m:sSub>
      </m:oMath>
      <w:r>
        <w:t xml:space="preserve"> is the mass fraction of the clay component &gt; 53 μm as a decimal</w:t>
      </w:r>
      <w:r>
        <w:rPr>
          <w:rStyle w:val="FootnoteReference"/>
        </w:rPr>
        <w:footnoteReference w:id="2"/>
      </w:r>
      <w:r>
        <w:t xml:space="preserve">, </w:t>
      </w:r>
      <m:oMath>
        <m:sSub>
          <m:sSubPr>
            <m:ctrlPr>
              <w:rPr>
                <w:rFonts w:ascii="Cambria Math" w:hAnsi="Cambria Math"/>
              </w:rPr>
            </m:ctrlPr>
          </m:sSubPr>
          <m:e>
            <m:r>
              <w:rPr>
                <w:rFonts w:ascii="Cambria Math" w:hAnsi="Cambria Math"/>
              </w:rPr>
              <m:t>m</m:t>
            </m:r>
          </m:e>
          <m:sub>
            <m:r>
              <w:rPr>
                <w:rFonts w:ascii="Cambria Math" w:hAnsi="Cambria Math"/>
              </w:rPr>
              <m:t>sand</m:t>
            </m:r>
          </m:sub>
        </m:sSub>
      </m:oMath>
      <w:r>
        <w:t xml:space="preserve"> is the oven-dry mass of the “sand” component (as a decimal fraction of the</w:t>
      </w:r>
      <w:r>
        <w:t xml:space="preserve"> final mixture mass), </w:t>
      </w:r>
      <m:oMath>
        <m:sSub>
          <m:sSubPr>
            <m:ctrlPr>
              <w:rPr>
                <w:rFonts w:ascii="Cambria Math" w:hAnsi="Cambria Math"/>
              </w:rPr>
            </m:ctrlPr>
          </m:sSubPr>
          <m:e>
            <m:r>
              <w:rPr>
                <w:rFonts w:ascii="Cambria Math" w:hAnsi="Cambria Math"/>
              </w:rPr>
              <m:t>m</m:t>
            </m:r>
          </m:e>
          <m:sub>
            <m:r>
              <w:rPr>
                <w:rFonts w:ascii="Cambria Math" w:hAnsi="Cambria Math"/>
              </w:rPr>
              <m:t>clay</m:t>
            </m:r>
          </m:sub>
        </m:sSub>
      </m:oMath>
      <w:r>
        <w:t xml:space="preserve"> is the oven-dry mass of the clay component (as a decimal of the final mixture mass), </w:t>
      </w:r>
      <m:oMath>
        <m:sSub>
          <m:sSubPr>
            <m:ctrlPr>
              <w:rPr>
                <w:rFonts w:ascii="Cambria Math" w:hAnsi="Cambria Math"/>
              </w:rPr>
            </m:ctrlPr>
          </m:sSubPr>
          <m:e>
            <m:r>
              <w:rPr>
                <w:rFonts w:ascii="Cambria Math" w:hAnsi="Cambria Math"/>
              </w:rPr>
              <m:t>m</m:t>
            </m:r>
          </m:e>
          <m:sub>
            <m:r>
              <w:rPr>
                <w:rFonts w:ascii="Cambria Math" w:hAnsi="Cambria Math"/>
              </w:rPr>
              <m:t>final</m:t>
            </m:r>
          </m:sub>
        </m:sSub>
      </m:oMath>
      <w:r>
        <w:t xml:space="preserve"> the total oven-dry mass of the final mixture, equal to unity, and </w:t>
      </w:r>
      <m:oMath>
        <m:r>
          <w:rPr>
            <w:rFonts w:ascii="Cambria Math" w:hAnsi="Cambria Math"/>
          </w:rPr>
          <m:t>w</m:t>
        </m:r>
      </m:oMath>
      <w:r>
        <w:t xml:space="preserve"> is the gravimetric water content of a given component in</w:t>
      </w:r>
      <w:r>
        <w:t xml:space="preserve"> decimal form.</w:t>
      </w:r>
    </w:p>
    <w:p w14:paraId="16E8235C" w14:textId="77777777" w:rsidR="007070AB" w:rsidRDefault="006A0459">
      <w:pPr>
        <w:pStyle w:val="BodyText"/>
      </w:pPr>
      <w:r>
        <w:t>The materials were combined in small bowls and mixed with a spatula until visually homogenous. Distilled water was added to bring the mixture approximately to its liquid limit. The liquid and plastic limit tests were performed according to A</w:t>
      </w:r>
      <w:r>
        <w:t>STM D4318 (</w:t>
      </w:r>
      <w:hyperlink w:anchor="ref-ASTMD43182018">
        <w:r>
          <w:rPr>
            <w:rStyle w:val="Hyperlink"/>
          </w:rPr>
          <w:t>ASTM International, 2018</w:t>
        </w:r>
      </w:hyperlink>
      <w:r>
        <w:t xml:space="preserve">). A minimum of four data points were collected to plot the flow curve. </w:t>
      </w:r>
      <w:r>
        <w:t>Three plastic limit threads were rolled and their average value was used as the representative value for the mixture.</w:t>
      </w:r>
    </w:p>
    <w:p w14:paraId="138717C0" w14:textId="77777777" w:rsidR="007070AB" w:rsidRDefault="006A0459">
      <w:pPr>
        <w:pStyle w:val="BodyText"/>
      </w:pPr>
      <w:r>
        <w:t>An adhesion limit test was also performed for Experiments 1 and 2. The test was modeled after Atterberg’s original description (</w:t>
      </w:r>
      <w:hyperlink w:anchor="ref-Atterberg1974">
        <w:r>
          <w:rPr>
            <w:rStyle w:val="Hyperlink"/>
          </w:rPr>
          <w:t>Atterberg, 1974</w:t>
        </w:r>
      </w:hyperlink>
      <w:r>
        <w:t>). The sticky soil was gradually dried from its liquid limit using cool air from a hairdryer. As it dried, the soil was continually remolded with the operator’s fingers and periodically agitated with a galvanize</w:t>
      </w:r>
      <w:r>
        <w:t>d steel nail. The adhesion limit was reached when the lump of soil could be pressed against the nail and then readily separated in a single piece, with no soil adhering to the metal surface. Figure 5 shows a sample above and at the adhesion limit. The samp</w:t>
      </w:r>
      <w:r>
        <w:t xml:space="preserve">le was weighed to 0.001 g, oven-dried, and weighed again to determine its gravimetric water content </w:t>
      </w:r>
      <m:oMath>
        <m:r>
          <w:rPr>
            <w:rFonts w:ascii="Cambria Math" w:hAnsi="Cambria Math"/>
          </w:rPr>
          <m:t>w</m:t>
        </m:r>
      </m:oMath>
      <w:r>
        <w:t>. Three adhesion limit determinations were made for each mixture and averaged to produce a representative value.</w:t>
      </w:r>
    </w:p>
    <w:p w14:paraId="72A3D3EC" w14:textId="77777777" w:rsidR="007070AB" w:rsidRDefault="006A0459">
      <w:pPr>
        <w:pStyle w:val="CaptionedFigure"/>
      </w:pPr>
      <w:r>
        <w:rPr>
          <w:noProof/>
        </w:rPr>
        <w:drawing>
          <wp:inline distT="0" distB="0" distL="0" distR="0" wp14:anchorId="67438C50" wp14:editId="07777777">
            <wp:extent cx="5943600" cy="2236205"/>
            <wp:effectExtent l="0" t="0" r="0" b="0"/>
            <wp:docPr id="436983224" name="Picture" descr="Figure 5: A. Soil with water content above the adhesion limit. B. The same sample having dried just below the adhesion limit."/>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image-figs/adhesion-limit-method.png"/>
                    <pic:cNvPicPr>
                      <a:picLocks noChangeAspect="1" noChangeArrowheads="1"/>
                    </pic:cNvPicPr>
                  </pic:nvPicPr>
                  <pic:blipFill>
                    <a:blip r:embed="rId13"/>
                    <a:stretch>
                      <a:fillRect/>
                    </a:stretch>
                  </pic:blipFill>
                  <pic:spPr bwMode="auto">
                    <a:xfrm>
                      <a:off x="0" y="0"/>
                      <a:ext cx="5943600" cy="2236205"/>
                    </a:xfrm>
                    <a:prstGeom prst="rect">
                      <a:avLst/>
                    </a:prstGeom>
                    <a:noFill/>
                    <a:ln w="9525">
                      <a:noFill/>
                      <a:headEnd/>
                      <a:tailEnd/>
                    </a:ln>
                  </pic:spPr>
                </pic:pic>
              </a:graphicData>
            </a:graphic>
          </wp:inline>
        </w:drawing>
      </w:r>
    </w:p>
    <w:p w14:paraId="7704B277" w14:textId="77777777" w:rsidR="007070AB" w:rsidRDefault="006A0459">
      <w:pPr>
        <w:pStyle w:val="ImageCaption"/>
      </w:pPr>
      <w:r>
        <w:t xml:space="preserve">Figure 5: </w:t>
      </w:r>
      <w:r>
        <w:rPr>
          <w:b/>
          <w:bCs/>
        </w:rPr>
        <w:t>A.</w:t>
      </w:r>
      <w:r>
        <w:t xml:space="preserve"> Soil with water content ab</w:t>
      </w:r>
      <w:r>
        <w:t xml:space="preserve">ove the adhesion limit. </w:t>
      </w:r>
      <w:r>
        <w:rPr>
          <w:b/>
          <w:bCs/>
        </w:rPr>
        <w:t>B.</w:t>
      </w:r>
      <w:r>
        <w:t xml:space="preserve"> The same sample having dried just below the adhesion limit.</w:t>
      </w:r>
    </w:p>
    <w:p w14:paraId="1B69E740" w14:textId="77777777" w:rsidR="007070AB" w:rsidRDefault="006A0459">
      <w:pPr>
        <w:pStyle w:val="Heading1"/>
      </w:pPr>
      <w:bookmarkStart w:id="32" w:name="results-and-discussion"/>
      <w:bookmarkStart w:id="33" w:name="_Toc84992835"/>
      <w:bookmarkEnd w:id="30"/>
      <w:bookmarkEnd w:id="20"/>
      <w:r>
        <w:t>Results and discussion</w:t>
      </w:r>
      <w:bookmarkEnd w:id="33"/>
    </w:p>
    <w:p w14:paraId="23AAA11D" w14:textId="77777777" w:rsidR="007070AB" w:rsidRDefault="006A0459">
      <w:pPr>
        <w:pStyle w:val="Heading2"/>
      </w:pPr>
      <w:bookmarkStart w:id="34" w:name="experiment-1"/>
      <w:bookmarkStart w:id="35" w:name="_Toc84992836"/>
      <w:r>
        <w:t>Experiment 1</w:t>
      </w:r>
      <w:bookmarkEnd w:id="35"/>
    </w:p>
    <w:p w14:paraId="3B3B8E77" w14:textId="77777777" w:rsidR="007070AB" w:rsidRDefault="006A0459">
      <w:pPr>
        <w:pStyle w:val="FirstParagraph"/>
      </w:pPr>
      <w:r>
        <w:t>The coarse fraction’s particle size notably affected both the LL and PL. Figure 6 shows the LL and PL as a function of coarse particl</w:t>
      </w:r>
      <w:r>
        <w:t>e content, with one panel per size fraction. The dashed lines represent the water contents corresponding to the linear law of mixtures (Equation (1)).</w:t>
      </w:r>
    </w:p>
    <w:p w14:paraId="3138B4CC" w14:textId="77777777" w:rsidR="007070AB" w:rsidRDefault="006A0459">
      <w:pPr>
        <w:pStyle w:val="BodyText"/>
      </w:pPr>
      <w:r>
        <w:t xml:space="preserve">The LL test results adhered closely to the linear law up to 20% sand or silt. Above 20% coarse addition, </w:t>
      </w:r>
      <w:r>
        <w:t>adherence was closer for coarser particles. The LL of mixtures containing the coarsest sand (2.0-1.0 mm) were nearly identical to those predicted by the linear law, all the way up to 75% sand. Conversely, the LL of finer materials were always higher than p</w:t>
      </w:r>
      <w:r>
        <w:t>redicted. Silt mixtures deviated from the linear law at just 20%. Mixtures containing the finer sands began to depart from the predictions at about 40%. Above 70% sand all mixes besides those containing silt became nonplastic.</w:t>
      </w:r>
    </w:p>
    <w:p w14:paraId="5DB3CA41" w14:textId="77777777" w:rsidR="007070AB" w:rsidRDefault="006A0459">
      <w:pPr>
        <w:pStyle w:val="BodyText"/>
      </w:pPr>
      <w:r>
        <w:t>The effect of particle size w</w:t>
      </w:r>
      <w:r>
        <w:t>as even more pronounced for the plastic limit. Mixtures containing particles &gt; 0.25 mm still adhered closely to the linear law. Mixtures containing &lt; 0.25 mm sand or silt had elevated plastic limits. The results began to diverge from the linear law at arou</w:t>
      </w:r>
      <w:r>
        <w:t>nd 20% coarse addition, and the spread widened as more coarse particles were added.</w:t>
      </w:r>
    </w:p>
    <w:p w14:paraId="0D0B940D" w14:textId="77777777" w:rsidR="007070AB" w:rsidRDefault="006A0459">
      <w:pPr>
        <w:pStyle w:val="CaptionedFigure"/>
      </w:pPr>
      <w:r>
        <w:rPr>
          <w:noProof/>
        </w:rPr>
        <w:drawing>
          <wp:inline distT="0" distB="0" distL="0" distR="0" wp14:anchorId="05401CD0" wp14:editId="07777777">
            <wp:extent cx="5504749" cy="3403769"/>
            <wp:effectExtent l="0" t="0" r="0" b="0"/>
            <wp:docPr id="1817580919" name="Picture" descr="Figure 6: Liquid and plastic limits of sand-clay mixtures in Experiment 1. Dashed black lines denote the water contents predicted by the linear law of mixtures."/>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atterberg-limit-facets.png"/>
                    <pic:cNvPicPr>
                      <a:picLocks noChangeAspect="1" noChangeArrowheads="1"/>
                    </pic:cNvPicPr>
                  </pic:nvPicPr>
                  <pic:blipFill>
                    <a:blip r:embed="rId14"/>
                    <a:stretch>
                      <a:fillRect/>
                    </a:stretch>
                  </pic:blipFill>
                  <pic:spPr bwMode="auto">
                    <a:xfrm>
                      <a:off x="0" y="0"/>
                      <a:ext cx="5504749" cy="3403769"/>
                    </a:xfrm>
                    <a:prstGeom prst="rect">
                      <a:avLst/>
                    </a:prstGeom>
                    <a:noFill/>
                    <a:ln w="9525">
                      <a:noFill/>
                      <a:headEnd/>
                      <a:tailEnd/>
                    </a:ln>
                  </pic:spPr>
                </pic:pic>
              </a:graphicData>
            </a:graphic>
          </wp:inline>
        </w:drawing>
      </w:r>
    </w:p>
    <w:p w14:paraId="40ECEFB4" w14:textId="77777777" w:rsidR="007070AB" w:rsidRDefault="006A0459">
      <w:pPr>
        <w:pStyle w:val="ImageCaption"/>
      </w:pPr>
      <w:r>
        <w:t>Figure 6: Liquid and plastic limits of sand-clay mixtures in Experiment 1. Dashed black lines denote the water contents predicted by the linear law of mixtures.</w:t>
      </w:r>
    </w:p>
    <w:p w14:paraId="2CC53528" w14:textId="77777777" w:rsidR="007070AB" w:rsidRDefault="006A0459">
      <w:pPr>
        <w:pStyle w:val="BodyText"/>
      </w:pPr>
      <w:r>
        <w:t>Differenc</w:t>
      </w:r>
      <w:r>
        <w:t xml:space="preserve">es were computed between the predicted and measured LL and PL. A two-way polynomial model with interaction was fitted to these differences (Table ??). It is more instructive to consider the sand/silt particle diameter as a continuous variable, rather than </w:t>
      </w:r>
      <w:r>
        <w:t>via distinct classes. Therefore, both the % coarse addition and the base-10 logarithm of D</w:t>
      </w:r>
      <w:r>
        <w:rPr>
          <w:vertAlign w:val="subscript"/>
        </w:rPr>
        <w:t>50</w:t>
      </w:r>
      <w:r>
        <w:t xml:space="preserve"> were treated as continuous predictors. Main effects and interactions were tested using Type III Sums of Squares. As Figure 6 suggests, there was a significant inte</w:t>
      </w:r>
      <w:r>
        <w:t>raction between % coarse addition and D</w:t>
      </w:r>
      <w:r>
        <w:rPr>
          <w:vertAlign w:val="subscript"/>
        </w:rPr>
        <w:t>50</w:t>
      </w:r>
      <w:r>
        <w:t>.</w:t>
      </w:r>
    </w:p>
    <w:p w14:paraId="0E27B00A" w14:textId="77777777" w:rsidR="007070AB" w:rsidRDefault="006A0459">
      <w:pPr>
        <w:pStyle w:val="BodyText"/>
      </w:pPr>
      <w:r>
        <w:rPr>
          <w:noProof/>
        </w:rPr>
        <w:drawing>
          <wp:inline distT="0" distB="0" distL="0" distR="0" wp14:anchorId="112FD185" wp14:editId="07777777">
            <wp:extent cx="3033728" cy="672802"/>
            <wp:effectExtent l="0" t="0" r="0" b="0"/>
            <wp:docPr id="696078899"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ANWZCV\file4c5440251d93.png"/>
                    <pic:cNvPicPr>
                      <a:picLocks noChangeAspect="1" noChangeArrowheads="1"/>
                    </pic:cNvPicPr>
                  </pic:nvPicPr>
                  <pic:blipFill>
                    <a:blip r:embed="rId15"/>
                    <a:stretch>
                      <a:fillRect/>
                    </a:stretch>
                  </pic:blipFill>
                  <pic:spPr bwMode="auto">
                    <a:xfrm>
                      <a:off x="0" y="0"/>
                      <a:ext cx="3033728" cy="672802"/>
                    </a:xfrm>
                    <a:prstGeom prst="rect">
                      <a:avLst/>
                    </a:prstGeom>
                    <a:noFill/>
                    <a:ln w="9525">
                      <a:noFill/>
                      <a:headEnd/>
                      <a:tailEnd/>
                    </a:ln>
                  </pic:spPr>
                </pic:pic>
              </a:graphicData>
            </a:graphic>
          </wp:inline>
        </w:drawing>
      </w:r>
    </w:p>
    <w:p w14:paraId="7294FA56" w14:textId="77777777" w:rsidR="007070AB" w:rsidRDefault="006A0459">
      <w:pPr>
        <w:pStyle w:val="BodyText"/>
      </w:pPr>
      <w:r>
        <w:t>The physical significance of this interaction is that with increasing sand or silt, the coarse fraction’s particle size plays an increasingly important role in the mixture’s overall behavior. Figure 7 re-plots t</w:t>
      </w:r>
      <w:r>
        <w:t>he Atterberg limits in terms of each material’s D</w:t>
      </w:r>
      <w:r>
        <w:rPr>
          <w:vertAlign w:val="subscript"/>
        </w:rPr>
        <w:t>50</w:t>
      </w:r>
      <w:r>
        <w:t>, with a separate plot for each % coarse addition. The regression slopes in Figure 7 represent the degree of influence imposed by the coarse grains’ sizes. When only 20% sand or silt is added, the regressi</w:t>
      </w:r>
      <w:r>
        <w:t>on slopes are shallow because all mixtures performed similarly. The lines steepen with further additions, demonstrating a larger separation between mixes having the same mass % sand or silt, but with different sizes.</w:t>
      </w:r>
    </w:p>
    <w:p w14:paraId="47F4EAAC" w14:textId="77777777" w:rsidR="007070AB" w:rsidRDefault="006A0459">
      <w:pPr>
        <w:pStyle w:val="BodyText"/>
      </w:pPr>
      <w:r>
        <w:t>To further explore this concept, the sl</w:t>
      </w:r>
      <w:r>
        <w:t>opes (i.e., first derivative) from Figure 7 are re-plotted in Figure 8. This highlights the increasing separation between the sands with greater coarse content.</w:t>
      </w:r>
    </w:p>
    <w:p w14:paraId="60061E4C" w14:textId="77777777" w:rsidR="007070AB" w:rsidRDefault="006A0459">
      <w:pPr>
        <w:pStyle w:val="CaptionedFigure"/>
      </w:pPr>
      <w:r>
        <w:rPr>
          <w:noProof/>
        </w:rPr>
        <w:drawing>
          <wp:inline distT="0" distB="0" distL="0" distR="0" wp14:anchorId="2E823935" wp14:editId="07777777">
            <wp:extent cx="5504749" cy="3403769"/>
            <wp:effectExtent l="0" t="0" r="0" b="0"/>
            <wp:docPr id="2059904123" name="Picture" descr="Figure 7: LL and PL as a function of both the percent coarse addition and its D_{50}."/>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atterberg-limits-vs-d50-faceted-by-sand-percent.png"/>
                    <pic:cNvPicPr>
                      <a:picLocks noChangeAspect="1" noChangeArrowheads="1"/>
                    </pic:cNvPicPr>
                  </pic:nvPicPr>
                  <pic:blipFill>
                    <a:blip r:embed="rId16"/>
                    <a:stretch>
                      <a:fillRect/>
                    </a:stretch>
                  </pic:blipFill>
                  <pic:spPr bwMode="auto">
                    <a:xfrm>
                      <a:off x="0" y="0"/>
                      <a:ext cx="5504749" cy="3403769"/>
                    </a:xfrm>
                    <a:prstGeom prst="rect">
                      <a:avLst/>
                    </a:prstGeom>
                    <a:noFill/>
                    <a:ln w="9525">
                      <a:noFill/>
                      <a:headEnd/>
                      <a:tailEnd/>
                    </a:ln>
                  </pic:spPr>
                </pic:pic>
              </a:graphicData>
            </a:graphic>
          </wp:inline>
        </w:drawing>
      </w:r>
    </w:p>
    <w:p w14:paraId="0DC4A002" w14:textId="77777777" w:rsidR="007070AB" w:rsidRDefault="006A0459">
      <w:pPr>
        <w:pStyle w:val="ImageCaption"/>
      </w:pPr>
      <w:r>
        <w:t xml:space="preserve">Figure 7: LL and PL as a function of both the percent coarse addition and its </w:t>
      </w:r>
      <m:oMath>
        <m:sSub>
          <m:sSubPr>
            <m:ctrlPr>
              <w:rPr>
                <w:rFonts w:ascii="Cambria Math" w:hAnsi="Cambria Math"/>
              </w:rPr>
            </m:ctrlPr>
          </m:sSubPr>
          <m:e>
            <m:r>
              <w:rPr>
                <w:rFonts w:ascii="Cambria Math" w:hAnsi="Cambria Math"/>
              </w:rPr>
              <m:t>D</m:t>
            </m:r>
          </m:e>
          <m:sub>
            <m:r>
              <w:rPr>
                <w:rFonts w:ascii="Cambria Math" w:hAnsi="Cambria Math"/>
              </w:rPr>
              <m:t>50</m:t>
            </m:r>
          </m:sub>
        </m:sSub>
      </m:oMath>
      <w:r>
        <w:t>.</w:t>
      </w:r>
    </w:p>
    <w:p w14:paraId="44EAFD9C" w14:textId="77777777" w:rsidR="007070AB" w:rsidRDefault="006A0459">
      <w:pPr>
        <w:pStyle w:val="CaptionedFigure"/>
      </w:pPr>
      <w:r>
        <w:rPr>
          <w:noProof/>
        </w:rPr>
        <w:drawing>
          <wp:inline distT="0" distB="0" distL="0" distR="0" wp14:anchorId="7604C238" wp14:editId="07777777">
            <wp:extent cx="5504749" cy="3403769"/>
            <wp:effectExtent l="0" t="0" r="0" b="0"/>
            <wp:docPr id="300652994" name="Picture" descr="Figure 8: Absolute value of slope coefficients for LL or PL vs D_{50} for each percent coarse addition."/>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d50-slopes-vs-sand-percent.png"/>
                    <pic:cNvPicPr>
                      <a:picLocks noChangeAspect="1" noChangeArrowheads="1"/>
                    </pic:cNvPicPr>
                  </pic:nvPicPr>
                  <pic:blipFill>
                    <a:blip r:embed="rId17"/>
                    <a:stretch>
                      <a:fillRect/>
                    </a:stretch>
                  </pic:blipFill>
                  <pic:spPr bwMode="auto">
                    <a:xfrm>
                      <a:off x="0" y="0"/>
                      <a:ext cx="5504749" cy="3403769"/>
                    </a:xfrm>
                    <a:prstGeom prst="rect">
                      <a:avLst/>
                    </a:prstGeom>
                    <a:noFill/>
                    <a:ln w="9525">
                      <a:noFill/>
                      <a:headEnd/>
                      <a:tailEnd/>
                    </a:ln>
                  </pic:spPr>
                </pic:pic>
              </a:graphicData>
            </a:graphic>
          </wp:inline>
        </w:drawing>
      </w:r>
    </w:p>
    <w:p w14:paraId="18EE698A" w14:textId="77777777" w:rsidR="007070AB" w:rsidRDefault="006A0459">
      <w:pPr>
        <w:pStyle w:val="ImageCaption"/>
      </w:pPr>
      <w:r>
        <w:t xml:space="preserve">Figure </w:t>
      </w:r>
      <w:r>
        <w:t xml:space="preserve">8: Absolute value of slope coefficients for LL or PL vs </w:t>
      </w:r>
      <m:oMath>
        <m:sSub>
          <m:sSubPr>
            <m:ctrlPr>
              <w:rPr>
                <w:rFonts w:ascii="Cambria Math" w:hAnsi="Cambria Math"/>
              </w:rPr>
            </m:ctrlPr>
          </m:sSubPr>
          <m:e>
            <m:r>
              <w:rPr>
                <w:rFonts w:ascii="Cambria Math" w:hAnsi="Cambria Math"/>
              </w:rPr>
              <m:t>D</m:t>
            </m:r>
          </m:e>
          <m:sub>
            <m:r>
              <w:rPr>
                <w:rFonts w:ascii="Cambria Math" w:hAnsi="Cambria Math"/>
              </w:rPr>
              <m:t>50</m:t>
            </m:r>
          </m:sub>
        </m:sSub>
      </m:oMath>
      <w:r>
        <w:t xml:space="preserve"> for each percent coarse addition.</w:t>
      </w:r>
    </w:p>
    <w:p w14:paraId="145AC205" w14:textId="77777777" w:rsidR="007070AB" w:rsidRDefault="006A0459">
      <w:pPr>
        <w:pStyle w:val="BodyText"/>
      </w:pPr>
      <w:r>
        <w:t>A final point of interest is the toughness of the mixtures. Toughness may be defined in two ways: (1) qualitatively, as the shearing resistance at the plastic li</w:t>
      </w:r>
      <w:r>
        <w:t>mit (</w:t>
      </w:r>
      <w:hyperlink w:anchor="ref-Casagrande1932">
        <w:r>
          <w:rPr>
            <w:rStyle w:val="Hyperlink"/>
          </w:rPr>
          <w:t>Casagrande, 1932</w:t>
        </w:r>
      </w:hyperlink>
      <w:r>
        <w:t>), or (2) quantitatively, as the total work required to deform a specimen to failure (</w:t>
      </w:r>
      <w:hyperlink w:anchor="ref-Mamlouk2006">
        <w:r>
          <w:rPr>
            <w:rStyle w:val="Hyperlink"/>
          </w:rPr>
          <w:t>Mamlouk and Zaniewski., 2006</w:t>
        </w:r>
      </w:hyperlink>
      <w:r>
        <w:t xml:space="preserve">; </w:t>
      </w:r>
      <w:hyperlink w:anchor="ref-Barnes2013">
        <w:r>
          <w:rPr>
            <w:rStyle w:val="Hyperlink"/>
          </w:rPr>
          <w:t>Bar</w:t>
        </w:r>
        <w:r>
          <w:rPr>
            <w:rStyle w:val="Hyperlink"/>
          </w:rPr>
          <w:t>nes, 2013</w:t>
        </w:r>
      </w:hyperlink>
      <w:r>
        <w:t xml:space="preserve">). In the latter case, toughness is considered to have its maximum value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at the plastic limit.</w:t>
      </w:r>
    </w:p>
    <w:p w14:paraId="0F9B88F1" w14:textId="77777777" w:rsidR="007070AB" w:rsidRDefault="006A0459">
      <w:pPr>
        <w:pStyle w:val="BodyText"/>
      </w:pPr>
      <w:hyperlink w:anchor="ref-Moreno-Maroto2018">
        <w:r>
          <w:rPr>
            <w:rStyle w:val="Hyperlink"/>
          </w:rPr>
          <w:t>Moreno-Maroto and Alonso-Azcárate</w:t>
        </w:r>
      </w:hyperlink>
      <w:r>
        <w:t xml:space="preserve"> (</w:t>
      </w:r>
      <w:hyperlink w:anchor="ref-Moreno-Maroto2018">
        <w:r>
          <w:rPr>
            <w:rStyle w:val="Hyperlink"/>
          </w:rPr>
          <w:t>2018</w:t>
        </w:r>
      </w:hyperlink>
      <w:r>
        <w:t xml:space="preserve">) developed an empirical correlation between Atterberg limits and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by re-analyzing data from </w:t>
      </w:r>
      <w:hyperlink w:anchor="ref-Barnes2013">
        <w:r>
          <w:rPr>
            <w:rStyle w:val="Hyperlink"/>
          </w:rPr>
          <w:t>Barnes</w:t>
        </w:r>
      </w:hyperlink>
      <w:r>
        <w:t xml:space="preserve"> (</w:t>
      </w:r>
      <w:hyperlink w:anchor="ref-Barnes2013">
        <w:r>
          <w:rPr>
            <w:rStyle w:val="Hyperlink"/>
          </w:rPr>
          <w:t>2013</w:t>
        </w:r>
      </w:hyperlink>
      <w:r>
        <w:t xml:space="preserve">). Their empirical equation can be solved to predict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from PI and LL:</w:t>
      </w:r>
    </w:p>
    <w:p w14:paraId="58B70E80" w14:textId="77777777" w:rsidR="007070AB" w:rsidRDefault="006A0459">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 </m:t>
          </m:r>
          <m:r>
            <w:rPr>
              <w:rFonts w:ascii="Cambria Math" w:hAnsi="Cambria Math"/>
            </w:rPr>
            <m:t>(</m:t>
          </m:r>
          <m:r>
            <w:rPr>
              <w:rFonts w:ascii="Cambria Math" w:hAnsi="Cambria Math"/>
            </w:rPr>
            <m:t>kJ</m:t>
          </m:r>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3</m:t>
              </m:r>
            </m:sup>
          </m:sSup>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PI</m:t>
                  </m:r>
                </m:num>
                <m:den>
                  <m:r>
                    <w:rPr>
                      <w:rFonts w:ascii="Cambria Math" w:hAnsi="Cambria Math"/>
                    </w:rPr>
                    <m:t>LL</m:t>
                  </m:r>
                </m:den>
              </m:f>
              <m:r>
                <w:rPr>
                  <w:rFonts w:ascii="Cambria Math" w:hAnsi="Cambria Math"/>
                </w:rPr>
                <m:t>-</m:t>
              </m:r>
              <m:r>
                <w:rPr>
                  <w:rFonts w:ascii="Cambria Math" w:hAnsi="Cambria Math"/>
                </w:rPr>
                <m:t>0.3397</m:t>
              </m:r>
            </m:num>
            <m:den>
              <m:r>
                <w:rPr>
                  <w:rFonts w:ascii="Cambria Math" w:hAnsi="Cambria Math"/>
                </w:rPr>
                <m:t>0.0077</m:t>
              </m:r>
            </m:den>
          </m:f>
          <m:r>
            <w:rPr>
              <w:rFonts w:ascii="Cambria Math" w:hAnsi="Cambria Math"/>
            </w:rPr>
            <m:t>  </m:t>
          </m:r>
          <m:r>
            <w:rPr>
              <w:rFonts w:ascii="Cambria Math" w:hAnsi="Cambria Math"/>
            </w:rPr>
            <m:t>(5)</m:t>
          </m:r>
        </m:oMath>
      </m:oMathPara>
    </w:p>
    <w:p w14:paraId="733BC98B" w14:textId="77777777" w:rsidR="007070AB" w:rsidRDefault="006A0459">
      <w:pPr>
        <w:pStyle w:val="FirstParagraph"/>
      </w:pPr>
      <w:r>
        <w:t>Estimated toughness values were computed from Equation (5) for all mixtures in Experiment 1</w:t>
      </w:r>
      <w:r>
        <w:t xml:space="preserve">. This calculation produced some negative values, which is a physical impossibility. However, the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estimates are still of interest because they correspond well with qualitative assessments of toughness made while performing the tests (data not show</w:t>
      </w:r>
      <w:r>
        <w:t xml:space="preserve">n). Estimated values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are plotted against sand or silt content in Figure 9.</w:t>
      </w:r>
    </w:p>
    <w:p w14:paraId="4B94D5A5" w14:textId="77777777" w:rsidR="007070AB" w:rsidRDefault="006A0459">
      <w:pPr>
        <w:pStyle w:val="CaptionedFigure"/>
      </w:pPr>
      <w:r>
        <w:rPr>
          <w:noProof/>
        </w:rPr>
        <w:drawing>
          <wp:inline distT="0" distB="0" distL="0" distR="0" wp14:anchorId="2218AA29" wp14:editId="07777777">
            <wp:extent cx="5504749" cy="3403769"/>
            <wp:effectExtent l="0" t="0" r="0" b="0"/>
            <wp:docPr id="602129109" name="Picture" descr="Figure 9: Estimated toughness T_{max} was markedly reduced by finer sands and silt. The toughness of mixtures containing coarser sands more closely resembled that of the pure clay."/>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estimated-toughness.png"/>
                    <pic:cNvPicPr>
                      <a:picLocks noChangeAspect="1" noChangeArrowheads="1"/>
                    </pic:cNvPicPr>
                  </pic:nvPicPr>
                  <pic:blipFill>
                    <a:blip r:embed="rId18"/>
                    <a:stretch>
                      <a:fillRect/>
                    </a:stretch>
                  </pic:blipFill>
                  <pic:spPr bwMode="auto">
                    <a:xfrm>
                      <a:off x="0" y="0"/>
                      <a:ext cx="5504749" cy="3403769"/>
                    </a:xfrm>
                    <a:prstGeom prst="rect">
                      <a:avLst/>
                    </a:prstGeom>
                    <a:noFill/>
                    <a:ln w="9525">
                      <a:noFill/>
                      <a:headEnd/>
                      <a:tailEnd/>
                    </a:ln>
                  </pic:spPr>
                </pic:pic>
              </a:graphicData>
            </a:graphic>
          </wp:inline>
        </w:drawing>
      </w:r>
    </w:p>
    <w:p w14:paraId="035E71E9" w14:textId="77777777" w:rsidR="007070AB" w:rsidRDefault="006A0459">
      <w:pPr>
        <w:pStyle w:val="ImageCaption"/>
      </w:pPr>
      <w:r>
        <w:t xml:space="preserve">Figure 9: Estimated toughness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was markedly reduced by finer sands and silt. The toughness of mixtures containing coarser sands more closely resembled that of</w:t>
      </w:r>
      <w:r>
        <w:t xml:space="preserve"> the pure clay.</w:t>
      </w:r>
    </w:p>
    <w:p w14:paraId="29425E25" w14:textId="77777777" w:rsidR="007070AB" w:rsidRDefault="006A0459">
      <w:pPr>
        <w:pStyle w:val="BodyText"/>
      </w:pPr>
      <w:r>
        <w:t>Coarse additions reduced the predicted $T_{max} of all mixtures, with the effect size being negatively related to particle diameter. For low sand content, toughness was scantly influenced, and the various size fractions performed similarly.</w:t>
      </w:r>
      <w:r>
        <w:t xml:space="preserve"> A lone exception was the silt-sized quartz, which stood apart from the sand-size mixtures even at just 20% silt.</w:t>
      </w:r>
      <w:r>
        <w:br/>
        <w:t xml:space="preserve">The sand-size mixtures begin to separate at higher sand content, and above 50-60% sand their estimated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was markedly different. This f</w:t>
      </w:r>
      <w:r>
        <w:t>inding shows that the toughness of two sand-clay mixtures can differ, even when the sand % and PI values are similar.</w:t>
      </w:r>
    </w:p>
    <w:p w14:paraId="00520729" w14:textId="77777777" w:rsidR="007070AB" w:rsidRDefault="006A0459">
      <w:pPr>
        <w:pStyle w:val="BodyText"/>
      </w:pPr>
      <w:r>
        <w:t>A possible explanation for the mixtures’ behavior is sought in the number of “coarse” particles per unit mass. The coarsest sand used in E</w:t>
      </w:r>
      <w:r>
        <w:t>xperiment 1 had a D</w:t>
      </w:r>
      <w:r>
        <w:rPr>
          <w:vertAlign w:val="subscript"/>
        </w:rPr>
        <w:t>50</w:t>
      </w:r>
      <w:r>
        <w:t xml:space="preserve"> of 1.4 mm. Assuming a specific gravity of 2.65, 1 gram of these particles comprises 260 individual grains. In contrast, the finest sand had a D</w:t>
      </w:r>
      <w:r>
        <w:rPr>
          <w:vertAlign w:val="subscript"/>
        </w:rPr>
        <w:t>50</w:t>
      </w:r>
      <w:r>
        <w:t xml:space="preserve"> of 0.09 mm, representing 9.9^{5} particles per gram - a factor of ~3,800. It is likely t</w:t>
      </w:r>
      <w:r>
        <w:t>hat far more particle-to-particle contacts occur in mixes containing fine sands and silt. As the soil dries, the probability of these fine particles becoming lodged in an unstable configuration would be greater. More water is required to separate the parti</w:t>
      </w:r>
      <w:r>
        <w:t>cles and allow them to slide past one another without crumbling (PL test) or slumping (LL test). This extra water results in higher water contents at both behavioral thresholds.</w:t>
      </w:r>
    </w:p>
    <w:p w14:paraId="50FE1BE0" w14:textId="77777777" w:rsidR="007070AB" w:rsidRDefault="006A0459">
      <w:pPr>
        <w:pStyle w:val="BodyText"/>
      </w:pPr>
      <w:r>
        <w:t>An alternative possibility is that the higher water contents are simply due to</w:t>
      </w:r>
      <w:r>
        <w:t xml:space="preserve"> higher specific surface area for the smaller grains.</w:t>
      </w:r>
    </w:p>
    <w:p w14:paraId="2B303E9F" w14:textId="77777777" w:rsidR="007070AB" w:rsidRDefault="006A0459">
      <w:pPr>
        <w:pStyle w:val="Heading2"/>
      </w:pPr>
      <w:bookmarkStart w:id="36" w:name="experiment-2"/>
      <w:bookmarkStart w:id="37" w:name="_Toc84992837"/>
      <w:bookmarkEnd w:id="34"/>
      <w:r>
        <w:t>Experiment 2</w:t>
      </w:r>
      <w:bookmarkEnd w:id="37"/>
    </w:p>
    <w:p w14:paraId="6155F260" w14:textId="77777777" w:rsidR="007070AB" w:rsidRDefault="006A0459">
      <w:pPr>
        <w:pStyle w:val="FirstParagraph"/>
      </w:pPr>
      <w:r>
        <w:t>Experiment 2 compared the effect of particle shape for two sands of equal size. Figure 10 shows that the liquid, and plastic limits were nearly identical at sand content &lt; 60%. At sand cont</w:t>
      </w:r>
      <w:r>
        <w:t>ents ≥ 60%, a very slight increase in both the PL and LL was observed.</w:t>
      </w:r>
    </w:p>
    <w:p w14:paraId="0DE644BA" w14:textId="77777777" w:rsidR="007070AB" w:rsidRDefault="006A0459">
      <w:pPr>
        <w:pStyle w:val="BodyText"/>
      </w:pPr>
      <w:r>
        <w:t>A two-way ANOVA model was fitted to test the interaction effect between particle shape and % sand. Particle roundness was treated as a categorical predictor and a 2nd-order polynomial s</w:t>
      </w:r>
      <w:r>
        <w:t xml:space="preserve">pline term was used to model the % sand. The interaction effect between particle shape and sand % was small and not statistically significant. The maximum difference between angular and round sand for any of the tests was 1.0 % water content. This finding </w:t>
      </w:r>
      <w:r>
        <w:t>indicates that the importance of particle angularity is rather small compared to that of particle size.</w:t>
      </w:r>
    </w:p>
    <w:p w14:paraId="3DEEC669" w14:textId="77777777" w:rsidR="007070AB" w:rsidRDefault="006A0459">
      <w:pPr>
        <w:pStyle w:val="CaptionedFigure"/>
      </w:pPr>
      <w:r>
        <w:rPr>
          <w:noProof/>
        </w:rPr>
        <w:drawing>
          <wp:inline distT="0" distB="0" distL="0" distR="0" wp14:anchorId="10B93496" wp14:editId="07777777">
            <wp:extent cx="5504749" cy="3403769"/>
            <wp:effectExtent l="0" t="0" r="0" b="0"/>
            <wp:docPr id="2024998888" name="Picture" descr="Figure 10: The effect of particle shape on both the LL and PL tests was minimal."/>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2-atterberg-limit-facets.png"/>
                    <pic:cNvPicPr>
                      <a:picLocks noChangeAspect="1" noChangeArrowheads="1"/>
                    </pic:cNvPicPr>
                  </pic:nvPicPr>
                  <pic:blipFill>
                    <a:blip r:embed="rId19"/>
                    <a:stretch>
                      <a:fillRect/>
                    </a:stretch>
                  </pic:blipFill>
                  <pic:spPr bwMode="auto">
                    <a:xfrm>
                      <a:off x="0" y="0"/>
                      <a:ext cx="5504749" cy="3403769"/>
                    </a:xfrm>
                    <a:prstGeom prst="rect">
                      <a:avLst/>
                    </a:prstGeom>
                    <a:noFill/>
                    <a:ln w="9525">
                      <a:noFill/>
                      <a:headEnd/>
                      <a:tailEnd/>
                    </a:ln>
                  </pic:spPr>
                </pic:pic>
              </a:graphicData>
            </a:graphic>
          </wp:inline>
        </w:drawing>
      </w:r>
    </w:p>
    <w:p w14:paraId="72086AF6" w14:textId="77777777" w:rsidR="007070AB" w:rsidRDefault="006A0459">
      <w:pPr>
        <w:pStyle w:val="ImageCaption"/>
      </w:pPr>
      <w:r>
        <w:t>Figure 10: The effect of particle shape on both the LL and PL tests was minimal.</w:t>
      </w:r>
    </w:p>
    <w:p w14:paraId="075EFF07" w14:textId="77777777" w:rsidR="007070AB" w:rsidRDefault="006A0459">
      <w:pPr>
        <w:pStyle w:val="Heading2"/>
      </w:pPr>
      <w:bookmarkStart w:id="38" w:name="experiment-3"/>
      <w:bookmarkStart w:id="39" w:name="_Toc84992838"/>
      <w:bookmarkEnd w:id="36"/>
      <w:r>
        <w:t>Experiment 3</w:t>
      </w:r>
      <w:bookmarkEnd w:id="39"/>
    </w:p>
    <w:p w14:paraId="394AC797" w14:textId="77777777" w:rsidR="007070AB" w:rsidRDefault="006A0459">
      <w:pPr>
        <w:pStyle w:val="FirstParagraph"/>
      </w:pPr>
      <w:r>
        <w:t>Figure 11 shows the LL and PL for the 21 sand contents t</w:t>
      </w:r>
      <w:r>
        <w:t>ested in Experiment 3.</w:t>
      </w:r>
    </w:p>
    <w:p w14:paraId="5F982ADF" w14:textId="77777777" w:rsidR="007070AB" w:rsidRDefault="006A0459">
      <w:pPr>
        <w:pStyle w:val="BodyText"/>
      </w:pPr>
      <w:r>
        <w:t>Both sands followed a linear reduction in the PL or LL up to sand content of at least 60%. This finding is in good agreement with those of Experiment 1 because both sands in Experiment 3 were relatively coarse (D</w:t>
      </w:r>
      <w:r>
        <w:rPr>
          <w:vertAlign w:val="subscript"/>
        </w:rPr>
        <w:t>50</w:t>
      </w:r>
      <w:r>
        <w:t xml:space="preserve"> = 0.49 and 0.42 mm</w:t>
      </w:r>
      <w:r>
        <w:t>). These relatively-coarse sand grains appear to have little bearing on the behavior of the clay matrix until the sand grains form a contiguous skeleton.</w:t>
      </w:r>
      <w:r>
        <w:br/>
      </w:r>
    </w:p>
    <w:p w14:paraId="6292314A" w14:textId="77777777" w:rsidR="007070AB" w:rsidRDefault="006A0459">
      <w:pPr>
        <w:pStyle w:val="BodyText"/>
      </w:pPr>
      <w:r>
        <w:t>The low-C</w:t>
      </w:r>
      <w:r>
        <w:rPr>
          <w:vertAlign w:val="subscript"/>
        </w:rPr>
        <w:t>u</w:t>
      </w:r>
      <w:r>
        <w:t xml:space="preserve"> sand had higher LL and PL for nearly all mixtures. This small effect was statistically sig</w:t>
      </w:r>
      <w:r>
        <w:t>nificant for the LL but not for the PL (Table ??). Though measurable, it is of little practical interest.</w:t>
      </w:r>
    </w:p>
    <w:p w14:paraId="351AAEE6" w14:textId="77777777" w:rsidR="007070AB" w:rsidRDefault="006A0459">
      <w:pPr>
        <w:pStyle w:val="BodyText"/>
      </w:pPr>
      <w:r>
        <w:t>The mixtures became non-plastic at lower sand content when the low-C</w:t>
      </w:r>
      <w:r>
        <w:rPr>
          <w:vertAlign w:val="subscript"/>
        </w:rPr>
        <w:t>u</w:t>
      </w:r>
      <w:r>
        <w:t xml:space="preserve"> sand was used. Mixes containing 70, 72.5, and 75% sand had measurable plastic li</w:t>
      </w:r>
      <w:r>
        <w:t>mits with the high-C</w:t>
      </w:r>
      <w:r>
        <w:rPr>
          <w:vertAlign w:val="subscript"/>
        </w:rPr>
        <w:t>u</w:t>
      </w:r>
      <w:r>
        <w:t xml:space="preserve"> sand but could not be rolled out when made with the low-C</w:t>
      </w:r>
      <w:r>
        <w:rPr>
          <w:vertAlign w:val="subscript"/>
        </w:rPr>
        <w:t>u</w:t>
      </w:r>
      <w:r>
        <w:t xml:space="preserve"> sand.</w:t>
      </w:r>
    </w:p>
    <w:p w14:paraId="3656B9AB" w14:textId="77777777" w:rsidR="007070AB" w:rsidRDefault="006A0459">
      <w:pPr>
        <w:pStyle w:val="CaptionedFigure"/>
      </w:pPr>
      <w:r>
        <w:rPr>
          <w:noProof/>
        </w:rPr>
        <w:drawing>
          <wp:inline distT="0" distB="0" distL="0" distR="0" wp14:anchorId="5DF1630B" wp14:editId="07777777">
            <wp:extent cx="5504749" cy="3403769"/>
            <wp:effectExtent l="0" t="0" r="0" b="0"/>
            <wp:docPr id="1137023404" name="Picture" descr="Figure 11: The high-Cu sand had higher LL and PL than the low-Cu sand at most of the tested sand contents."/>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3-atterberg-limit-facets.png"/>
                    <pic:cNvPicPr>
                      <a:picLocks noChangeAspect="1" noChangeArrowheads="1"/>
                    </pic:cNvPicPr>
                  </pic:nvPicPr>
                  <pic:blipFill>
                    <a:blip r:embed="rId20"/>
                    <a:stretch>
                      <a:fillRect/>
                    </a:stretch>
                  </pic:blipFill>
                  <pic:spPr bwMode="auto">
                    <a:xfrm>
                      <a:off x="0" y="0"/>
                      <a:ext cx="5504749" cy="3403769"/>
                    </a:xfrm>
                    <a:prstGeom prst="rect">
                      <a:avLst/>
                    </a:prstGeom>
                    <a:noFill/>
                    <a:ln w="9525">
                      <a:noFill/>
                      <a:headEnd/>
                      <a:tailEnd/>
                    </a:ln>
                  </pic:spPr>
                </pic:pic>
              </a:graphicData>
            </a:graphic>
          </wp:inline>
        </w:drawing>
      </w:r>
    </w:p>
    <w:p w14:paraId="6065EB85" w14:textId="77777777" w:rsidR="007070AB" w:rsidRDefault="006A0459">
      <w:pPr>
        <w:pStyle w:val="ImageCaption"/>
      </w:pPr>
      <w:r>
        <w:t>Figure 11: The high-Cu sand had higher LL and PL than the low-Cu sand at most of the tested sand contents.</w:t>
      </w:r>
    </w:p>
    <w:p w14:paraId="45FB0818" w14:textId="77777777" w:rsidR="007070AB" w:rsidRDefault="006A0459">
      <w:pPr>
        <w:pStyle w:val="BodyText"/>
      </w:pPr>
      <w:r>
        <w:rPr>
          <w:noProof/>
        </w:rPr>
        <w:drawing>
          <wp:inline distT="0" distB="0" distL="0" distR="0" wp14:anchorId="653C9974" wp14:editId="07777777">
            <wp:extent cx="3033728" cy="1311965"/>
            <wp:effectExtent l="0" t="0" r="0" b="0"/>
            <wp:docPr id="319437349"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ANWZCV\file4c5413b2142.png"/>
                    <pic:cNvPicPr>
                      <a:picLocks noChangeAspect="1" noChangeArrowheads="1"/>
                    </pic:cNvPicPr>
                  </pic:nvPicPr>
                  <pic:blipFill>
                    <a:blip r:embed="rId21"/>
                    <a:stretch>
                      <a:fillRect/>
                    </a:stretch>
                  </pic:blipFill>
                  <pic:spPr bwMode="auto">
                    <a:xfrm>
                      <a:off x="0" y="0"/>
                      <a:ext cx="3033728" cy="1311965"/>
                    </a:xfrm>
                    <a:prstGeom prst="rect">
                      <a:avLst/>
                    </a:prstGeom>
                    <a:noFill/>
                    <a:ln w="9525">
                      <a:noFill/>
                      <a:headEnd/>
                      <a:tailEnd/>
                    </a:ln>
                  </pic:spPr>
                </pic:pic>
              </a:graphicData>
            </a:graphic>
          </wp:inline>
        </w:drawing>
      </w:r>
    </w:p>
    <w:p w14:paraId="1F9A0866" w14:textId="77777777" w:rsidR="007070AB" w:rsidRDefault="006A0459">
      <w:pPr>
        <w:pStyle w:val="BodyText"/>
      </w:pPr>
      <w:r>
        <w:t>Experiment 3 shows that the effect of sand uniformity on A</w:t>
      </w:r>
      <w:r>
        <w:t>tterberg limits is measurable. However, it is minor compared to that of sand/silt particle size and to the plasticity of the fines.</w:t>
      </w:r>
    </w:p>
    <w:p w14:paraId="3CB7D8A9" w14:textId="77777777" w:rsidR="007070AB" w:rsidRDefault="006A0459">
      <w:pPr>
        <w:pStyle w:val="Heading1"/>
      </w:pPr>
      <w:bookmarkStart w:id="40" w:name="conclusions"/>
      <w:bookmarkStart w:id="41" w:name="_Toc84992839"/>
      <w:bookmarkEnd w:id="38"/>
      <w:bookmarkEnd w:id="32"/>
      <w:r>
        <w:t>Conclusions</w:t>
      </w:r>
      <w:bookmarkEnd w:id="41"/>
    </w:p>
    <w:p w14:paraId="7F36F8A2" w14:textId="77777777" w:rsidR="007070AB" w:rsidRDefault="006A0459">
      <w:pPr>
        <w:pStyle w:val="FirstParagraph"/>
      </w:pPr>
      <w:r>
        <w:t>Particle size had a greater influence on mix behavior than particle shape or uniformity. Sand &gt; 0.425 mm is proh</w:t>
      </w:r>
      <w:r>
        <w:t>ibited by current protocols, but these particles had only a small influence on the test results. More dramatic effects occurred for the “legal” finer sands and silt. The effect of sand/silt size became increasingly important above 40% coarse addition.</w:t>
      </w:r>
    </w:p>
    <w:p w14:paraId="2134007D" w14:textId="77777777" w:rsidR="007070AB" w:rsidRDefault="006A0459">
      <w:pPr>
        <w:pStyle w:val="BodyText"/>
      </w:pPr>
      <w:r>
        <w:t>Mixt</w:t>
      </w:r>
      <w:r>
        <w:t>ures containing finer sands or silt had higher LL and PL than predicted by the linear law of mixtures. The linear law cannot apply to the PL for coarse additions ≥ 20% or to the LL for coarse additions ≥40%. PI was less affected because the LL and PL exper</w:t>
      </w:r>
      <w:r>
        <w:t>ienced similar deviations for a given mixture.</w:t>
      </w:r>
    </w:p>
    <w:p w14:paraId="66F4DCA9" w14:textId="77777777" w:rsidR="007070AB" w:rsidRDefault="006A0459">
      <w:pPr>
        <w:pStyle w:val="BodyText"/>
      </w:pPr>
      <w:r>
        <w:t xml:space="preserve">The toughness of the mixture at its plastic limit is also affected by sand/silt particle size. Mixes containing coarser sands had higher estimated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at their plastic limits. </w:t>
      </w:r>
      <w:r>
        <w:t xml:space="preserve">This effect probably can be explained by fewer contacts between coarse particles, permitting the clay matrix to experience a more extensive drydown before crumbling. The lower water content allowed the clay matrix to stiffen without losing its plasticity. </w:t>
      </w:r>
      <w:r>
        <w:t>If higher toughness is a desired mixture property of the mixture, it is suggested to use the coarsest sand possible.</w:t>
      </w:r>
    </w:p>
    <w:p w14:paraId="491A71F5" w14:textId="77777777" w:rsidR="007070AB" w:rsidRDefault="006A0459">
      <w:pPr>
        <w:pStyle w:val="BodyText"/>
      </w:pPr>
      <w:r>
        <w:t xml:space="preserve">The results of this study demonstrate that the wet-sieving protocol may be omitted when testing the Atterberg limits of infield mixes. The </w:t>
      </w:r>
      <w:r>
        <w:t>larger particles do not produce confounding effects but rather change the test results less than “legal” sand and silt particles. Performing Atterberg limit tests on infield mixes without removing particles 0.425-2.0 mm would reduce processing time and yie</w:t>
      </w:r>
      <w:r>
        <w:t>ld more meaningful analyses.</w:t>
      </w:r>
    </w:p>
    <w:p w14:paraId="071E4E01" w14:textId="77777777" w:rsidR="007070AB" w:rsidRDefault="006A0459">
      <w:pPr>
        <w:pStyle w:val="Heading1"/>
      </w:pPr>
      <w:bookmarkStart w:id="42" w:name="references"/>
      <w:bookmarkStart w:id="43" w:name="_Toc84992840"/>
      <w:bookmarkEnd w:id="40"/>
      <w:r>
        <w:t>References</w:t>
      </w:r>
      <w:bookmarkEnd w:id="43"/>
    </w:p>
    <w:p w14:paraId="257E4582" w14:textId="77777777" w:rsidR="007070AB" w:rsidRDefault="006A0459">
      <w:pPr>
        <w:pStyle w:val="Bibliography"/>
      </w:pPr>
      <w:bookmarkStart w:id="44" w:name="ref-AASHTO2020a"/>
      <w:bookmarkStart w:id="45" w:name="refs"/>
      <w:r>
        <w:t>AASHTO. 2020. AASHTO T 89-13, Determining the Liquid Limit of Soils.</w:t>
      </w:r>
    </w:p>
    <w:p w14:paraId="258B5DB3" w14:textId="77777777" w:rsidR="007070AB" w:rsidRDefault="006A0459">
      <w:pPr>
        <w:pStyle w:val="Bibliography"/>
      </w:pPr>
      <w:bookmarkStart w:id="46" w:name="ref-SportsTurfManagersAssociation2015"/>
      <w:bookmarkEnd w:id="44"/>
      <w:r>
        <w:t xml:space="preserve">Association, S.T.M. 2015. Sports Turf Managers Association - Management of skinned infields. </w:t>
      </w:r>
      <w:hyperlink r:id="rId22">
        <w:r>
          <w:rPr>
            <w:rStyle w:val="Hyperlink"/>
          </w:rPr>
          <w:t>https://www.stma.org/wp-content/uploads/2017/11/65d68a00-150d-457e-8708-dcb12717eecc.pdf</w:t>
        </w:r>
      </w:hyperlink>
      <w:r>
        <w:t xml:space="preserve"> (accessed 11 October 2021).</w:t>
      </w:r>
    </w:p>
    <w:p w14:paraId="4D52AC12" w14:textId="77777777" w:rsidR="007070AB" w:rsidRDefault="006A0459">
      <w:pPr>
        <w:pStyle w:val="Bibliography"/>
      </w:pPr>
      <w:bookmarkStart w:id="47" w:name="ref-ASTMF1815-11"/>
      <w:bookmarkEnd w:id="46"/>
      <w:r>
        <w:t>ASTM International. 2011. F1815-1</w:t>
      </w:r>
      <w:r>
        <w:t xml:space="preserve">1 Standard Test Methods for Saturated Hydraulic Conductivity , Water Retention , Porosity , and Bulk Density of Athletic Field Rootzones. : 1–6. doi: </w:t>
      </w:r>
      <w:hyperlink r:id="rId23">
        <w:r>
          <w:rPr>
            <w:rStyle w:val="Hyperlink"/>
          </w:rPr>
          <w:t>10.1520/F1815-11.2</w:t>
        </w:r>
      </w:hyperlink>
      <w:r>
        <w:t>.</w:t>
      </w:r>
    </w:p>
    <w:p w14:paraId="73394A1C" w14:textId="77777777" w:rsidR="007070AB" w:rsidRDefault="006A0459">
      <w:pPr>
        <w:pStyle w:val="Bibliography"/>
      </w:pPr>
      <w:bookmarkStart w:id="48" w:name="ref-ASTMD43182018"/>
      <w:bookmarkEnd w:id="47"/>
      <w:r>
        <w:t>ASTM International. 2018. D4318-</w:t>
      </w:r>
      <w:r>
        <w:t xml:space="preserve">17, Standard Test Methods for Liquid Limit, Plastic Limit, and Plasticity Index of Soils. : 20. doi: </w:t>
      </w:r>
      <w:hyperlink r:id="rId24">
        <w:r>
          <w:rPr>
            <w:rStyle w:val="Hyperlink"/>
          </w:rPr>
          <w:t>10.1520/D4318-17E01.</w:t>
        </w:r>
      </w:hyperlink>
    </w:p>
    <w:p w14:paraId="3F3F803D" w14:textId="77777777" w:rsidR="007070AB" w:rsidRDefault="006A0459">
      <w:pPr>
        <w:pStyle w:val="Bibliography"/>
      </w:pPr>
      <w:bookmarkStart w:id="49" w:name="ref-D4254-16"/>
      <w:bookmarkEnd w:id="48"/>
      <w:r>
        <w:t xml:space="preserve">ASTM International. D4254-16, Test Methods for Minimum Index Density and Unit </w:t>
      </w:r>
      <w:r>
        <w:t>Weight of Soils and Calculation of Relative Density. ASTM International.</w:t>
      </w:r>
    </w:p>
    <w:p w14:paraId="26F4A4E1" w14:textId="77777777" w:rsidR="007070AB" w:rsidRDefault="006A0459">
      <w:pPr>
        <w:pStyle w:val="Bibliography"/>
      </w:pPr>
      <w:bookmarkStart w:id="50" w:name="ref-Atterberg1911"/>
      <w:bookmarkEnd w:id="49"/>
      <w:r>
        <w:t>Atterberg, A. 1911. Die Plastizität der Tone. Intern mitt. boden: 4–37.</w:t>
      </w:r>
    </w:p>
    <w:p w14:paraId="72859D6F" w14:textId="77777777" w:rsidR="007070AB" w:rsidRDefault="006A0459">
      <w:pPr>
        <w:pStyle w:val="Bibliography"/>
      </w:pPr>
      <w:bookmarkStart w:id="51" w:name="ref-Atterberg1974"/>
      <w:bookmarkEnd w:id="50"/>
      <w:r>
        <w:t>Atterberg, Albert. 1974. Plasticity of clays. Cold Regions Research Lab, Hanover, NJ.</w:t>
      </w:r>
    </w:p>
    <w:p w14:paraId="5BEBD19B" w14:textId="77777777" w:rsidR="007070AB" w:rsidRDefault="006A0459">
      <w:pPr>
        <w:pStyle w:val="Bibliography"/>
      </w:pPr>
      <w:bookmarkStart w:id="52" w:name="ref-Barnes2013"/>
      <w:bookmarkEnd w:id="51"/>
      <w:r>
        <w:t>Barnes, G.E. 2013. The Pl</w:t>
      </w:r>
      <w:r>
        <w:t xml:space="preserve">astic Limit and Workability of Soils. </w:t>
      </w:r>
      <w:hyperlink r:id="rId25">
        <w:r>
          <w:rPr>
            <w:rStyle w:val="Hyperlink"/>
          </w:rPr>
          <w:t>https://www.escholar.manchester.ac.uk/api/datastream?publicationPid=uk-ac-man-scw:2</w:t>
        </w:r>
        <w:r>
          <w:rPr>
            <w:rStyle w:val="Hyperlink"/>
          </w:rPr>
          <w:t>12752&amp;datastreamId=FULL-TEXT.PDF</w:t>
        </w:r>
      </w:hyperlink>
      <w:r>
        <w:t>.</w:t>
      </w:r>
    </w:p>
    <w:p w14:paraId="38D10A2B" w14:textId="77777777" w:rsidR="007070AB" w:rsidRDefault="006A0459">
      <w:pPr>
        <w:pStyle w:val="Bibliography"/>
      </w:pPr>
      <w:bookmarkStart w:id="53" w:name="ref-Casagrande1932"/>
      <w:bookmarkEnd w:id="52"/>
      <w:r>
        <w:t>Casagrande, A. 1932. Research on the Atterberg limits of soils. Public Roads 13(8): 121–136.</w:t>
      </w:r>
    </w:p>
    <w:p w14:paraId="48A37A66" w14:textId="77777777" w:rsidR="007070AB" w:rsidRDefault="006A0459">
      <w:pPr>
        <w:pStyle w:val="Bibliography"/>
      </w:pPr>
      <w:bookmarkStart w:id="54" w:name="ref-Casagrande1947"/>
      <w:bookmarkEnd w:id="53"/>
      <w:r>
        <w:t>Casagrande, A. 1947. Classification and identification of soils. Transactions of the American Society of Civil Engineers 113: 901</w:t>
      </w:r>
      <w:r>
        <w:t>–991.</w:t>
      </w:r>
    </w:p>
    <w:p w14:paraId="493A2653" w14:textId="77777777" w:rsidR="007070AB" w:rsidRDefault="006A0459">
      <w:pPr>
        <w:pStyle w:val="Bibliography"/>
      </w:pPr>
      <w:bookmarkStart w:id="55" w:name="ref-Dumbleton1966a"/>
      <w:bookmarkEnd w:id="54"/>
      <w:r>
        <w:t xml:space="preserve">Dumbleton, M.J. 1966. Some Factors Affecting the Relation Between the Clay Minerals in Soils and Their Plasticity. Clay Minerals 6(3): 179–193. doi: </w:t>
      </w:r>
      <w:hyperlink r:id="rId26">
        <w:r>
          <w:rPr>
            <w:rStyle w:val="Hyperlink"/>
          </w:rPr>
          <w:t>10.1180/claymin.1966.006.3.05</w:t>
        </w:r>
      </w:hyperlink>
      <w:r>
        <w:t>.</w:t>
      </w:r>
    </w:p>
    <w:p w14:paraId="080017D4" w14:textId="77777777" w:rsidR="007070AB" w:rsidRDefault="006A0459">
      <w:pPr>
        <w:pStyle w:val="Bibliography"/>
      </w:pPr>
      <w:bookmarkStart w:id="56" w:name="ref-Dumbleton1966b"/>
      <w:bookmarkEnd w:id="55"/>
      <w:r>
        <w:t>Dumbl</w:t>
      </w:r>
      <w:r>
        <w:t>eton, M.J., and G. West. 1966. The influence of the coarse fraction on the plastic properties of clay soils- RRL Report No. 36. Road Research Laboratory, Crowthorne, Berkshire.</w:t>
      </w:r>
    </w:p>
    <w:p w14:paraId="4A76F7B8" w14:textId="77777777" w:rsidR="007070AB" w:rsidRDefault="006A0459">
      <w:pPr>
        <w:pStyle w:val="Bibliography"/>
      </w:pPr>
      <w:bookmarkStart w:id="57" w:name="ref-Gee2002"/>
      <w:bookmarkEnd w:id="56"/>
      <w:r>
        <w:t>Gee, G.W., and D. Or. 2002. Particle-size analysis. In: Dane, J.H. and Topp, C.</w:t>
      </w:r>
      <w:r>
        <w:t>G., editors, Methods of Soil Analysis: Part 4 Physical Methods. Soil Science Society of America, Madison, WI. p. 255–293</w:t>
      </w:r>
    </w:p>
    <w:p w14:paraId="6E41A5CC" w14:textId="77777777" w:rsidR="007070AB" w:rsidRDefault="006A0459">
      <w:pPr>
        <w:pStyle w:val="Bibliography"/>
      </w:pPr>
      <w:bookmarkStart w:id="58" w:name="ref-Holtz2010"/>
      <w:bookmarkEnd w:id="57"/>
      <w:r>
        <w:t>Holtz, R.D., W.D. Kovacs, and T.C. Sheahan. 2010. An Introduction to Geotechnical Engineering. Pearson, New York, NY.</w:t>
      </w:r>
    </w:p>
    <w:p w14:paraId="68F32F45" w14:textId="77777777" w:rsidR="007070AB" w:rsidRDefault="006A0459">
      <w:pPr>
        <w:pStyle w:val="Bibliography"/>
      </w:pPr>
      <w:bookmarkStart w:id="59" w:name="ref-Lade1998"/>
      <w:bookmarkEnd w:id="58"/>
      <w:r>
        <w:t xml:space="preserve">Lade, P.V., C.D. </w:t>
      </w:r>
      <w:r>
        <w:t>Liggio Jr., and J.A. Yamamuro. 1998. Effects of Particle Shapes and Sizes on the Minimum Void Ratios of Sand. Geotechnical Testing Journal 21(4): 336–347.</w:t>
      </w:r>
    </w:p>
    <w:p w14:paraId="5F0957E7" w14:textId="77777777" w:rsidR="007070AB" w:rsidRDefault="006A0459">
      <w:pPr>
        <w:pStyle w:val="Bibliography"/>
      </w:pPr>
      <w:bookmarkStart w:id="60" w:name="ref-Mamlouk2006"/>
      <w:bookmarkEnd w:id="59"/>
      <w:r>
        <w:t>Mamlouk, M.S., and J.P. Zaniewski. 2006. Materials for civil and construction engineers. Prentice Hal</w:t>
      </w:r>
      <w:r>
        <w:t>l, Upper Saddle River, NJ.</w:t>
      </w:r>
    </w:p>
    <w:p w14:paraId="37EA8459" w14:textId="77777777" w:rsidR="007070AB" w:rsidRDefault="006A0459">
      <w:pPr>
        <w:pStyle w:val="Bibliography"/>
      </w:pPr>
      <w:bookmarkStart w:id="61" w:name="ref-McBride2002"/>
      <w:bookmarkEnd w:id="60"/>
      <w:r>
        <w:t>McBride, R.A. 2002. Atterberg Limits. In: Dane, J.H. and Topp, C.G., editors, Methods of Soil Analysis: Part 4 Physical Methods. Soil Science Society of America, Madison, WI. p. 389–398</w:t>
      </w:r>
    </w:p>
    <w:p w14:paraId="4A50B26A" w14:textId="77777777" w:rsidR="007070AB" w:rsidRDefault="006A0459">
      <w:pPr>
        <w:pStyle w:val="Bibliography"/>
      </w:pPr>
      <w:bookmarkStart w:id="62" w:name="ref-Moore1997"/>
      <w:bookmarkEnd w:id="61"/>
      <w:r>
        <w:t>Moore, D.M., and R.C. Reynolds. 1997. X-Ray</w:t>
      </w:r>
      <w:r>
        <w:t xml:space="preserve"> Diffraction and the Identification and Analysis of Clay Minerals. 2nd ed. Oxford University Press.</w:t>
      </w:r>
    </w:p>
    <w:p w14:paraId="01533BE7" w14:textId="77777777" w:rsidR="007070AB" w:rsidRDefault="006A0459">
      <w:pPr>
        <w:pStyle w:val="Bibliography"/>
      </w:pPr>
      <w:bookmarkStart w:id="63" w:name="ref-Moreno-Maroto2018"/>
      <w:bookmarkEnd w:id="62"/>
      <w:r>
        <w:t>Moreno-Maroto, J.M., and J. Alonso-Azcárate. 2018. What is clay? A new definition of “clay” based on plasticity and its impact on the most widespread soil c</w:t>
      </w:r>
      <w:r>
        <w:t xml:space="preserve">lassification systems. Applied Clay Science 161: 57–63. doi: </w:t>
      </w:r>
      <w:hyperlink r:id="rId27">
        <w:r>
          <w:rPr>
            <w:rStyle w:val="Hyperlink"/>
          </w:rPr>
          <w:t>10.1016/j.clay.2018.04.011</w:t>
        </w:r>
      </w:hyperlink>
      <w:r>
        <w:t>.</w:t>
      </w:r>
    </w:p>
    <w:p w14:paraId="73D2F605" w14:textId="77777777" w:rsidR="007070AB" w:rsidRDefault="006A0459">
      <w:pPr>
        <w:pStyle w:val="Bibliography"/>
      </w:pPr>
      <w:bookmarkStart w:id="64" w:name="ref-Rehman2020"/>
      <w:bookmarkEnd w:id="63"/>
      <w:r>
        <w:t>Rehman, H.U., N. Pouladi, M. Pulido-Moncada, and E. Arthur. 2020. Repeatability and agreement between met</w:t>
      </w:r>
      <w:r>
        <w:t xml:space="preserve">hods for determining the Atterberg limits of fine-grained soils. Soil Science Society of America Journal 84(1): 21–30. doi: </w:t>
      </w:r>
      <w:hyperlink r:id="rId28">
        <w:r>
          <w:rPr>
            <w:rStyle w:val="Hyperlink"/>
          </w:rPr>
          <w:t>10.1002/saj2.20001</w:t>
        </w:r>
      </w:hyperlink>
      <w:r>
        <w:t>.</w:t>
      </w:r>
    </w:p>
    <w:p w14:paraId="3A3C2F2A" w14:textId="77777777" w:rsidR="007070AB" w:rsidRDefault="006A0459">
      <w:pPr>
        <w:pStyle w:val="Bibliography"/>
      </w:pPr>
      <w:bookmarkStart w:id="65" w:name="ref-Schroder2012"/>
      <w:bookmarkEnd w:id="64"/>
      <w:r>
        <w:t>Schroder, E. 2012. Setting a realistic standard for infiel</w:t>
      </w:r>
      <w:r>
        <w:t xml:space="preserve">d mixes: Opinions from the experts. SportsTurf: 8–16. </w:t>
      </w:r>
      <w:hyperlink r:id="rId29">
        <w:r>
          <w:rPr>
            <w:rStyle w:val="Hyperlink"/>
          </w:rPr>
          <w:t>https://sportsturfonline.com/2012/03/14/setting-a-realistic-stan</w:t>
        </w:r>
        <w:r>
          <w:rPr>
            <w:rStyle w:val="Hyperlink"/>
          </w:rPr>
          <w:t>dard-for-infield-mixes-opinions-from-the-experts/4637/</w:t>
        </w:r>
      </w:hyperlink>
      <w:r>
        <w:t>.</w:t>
      </w:r>
    </w:p>
    <w:p w14:paraId="520EAC5F" w14:textId="77777777" w:rsidR="007070AB" w:rsidRDefault="006A0459">
      <w:pPr>
        <w:pStyle w:val="Bibliography"/>
      </w:pPr>
      <w:bookmarkStart w:id="66" w:name="ref-Sivapullaiah1985"/>
      <w:bookmarkEnd w:id="65"/>
      <w:r>
        <w:t xml:space="preserve">Sivapullaiah, P.V., and A. Sridharan. 1985. Liquid Limit of Soil Mixtures. Geotechnical Testing Journal 8(3): 111–116. doi: </w:t>
      </w:r>
      <w:hyperlink r:id="rId30">
        <w:r>
          <w:rPr>
            <w:rStyle w:val="Hyperlink"/>
          </w:rPr>
          <w:t>10.1520/gtj10521j</w:t>
        </w:r>
      </w:hyperlink>
      <w:r>
        <w:t>.</w:t>
      </w:r>
    </w:p>
    <w:p w14:paraId="5B915F72" w14:textId="77777777" w:rsidR="007070AB" w:rsidRDefault="006A0459">
      <w:pPr>
        <w:pStyle w:val="Bibliography"/>
      </w:pPr>
      <w:bookmarkStart w:id="67" w:name="ref-USDA1999"/>
      <w:bookmarkEnd w:id="66"/>
      <w:r>
        <w:t>Soil Survey Staff - NRCS/USDA. 1999. Soil: taxonomy. United States Department of Agriculture, Washington, D.C.</w:t>
      </w:r>
    </w:p>
    <w:p w14:paraId="1C3D143A" w14:textId="77777777" w:rsidR="007070AB" w:rsidRDefault="006A0459">
      <w:pPr>
        <w:pStyle w:val="Bibliography"/>
      </w:pPr>
      <w:bookmarkStart w:id="68" w:name="ref-Terzaghi1925"/>
      <w:bookmarkEnd w:id="67"/>
      <w:r>
        <w:t>Terzaghi, K. 1925. Principles of Soil Mechanics: II- Compressive Strength of Clay. Eng. News Record 95(19): 796–800.</w:t>
      </w:r>
    </w:p>
    <w:p w14:paraId="6B05B592" w14:textId="77777777" w:rsidR="007070AB" w:rsidRDefault="006A0459">
      <w:pPr>
        <w:pStyle w:val="Bibliography"/>
      </w:pPr>
      <w:bookmarkStart w:id="69" w:name="ref-USGA2018"/>
      <w:bookmarkEnd w:id="68"/>
      <w:r>
        <w:t>USGA. 2018. Unites States Go</w:t>
      </w:r>
      <w:r>
        <w:t>lf Association recommendations for a method of putting green construction.</w:t>
      </w:r>
    </w:p>
    <w:p w14:paraId="34E81B65" w14:textId="77777777" w:rsidR="007070AB" w:rsidRDefault="006A0459">
      <w:pPr>
        <w:pStyle w:val="Bibliography"/>
      </w:pPr>
      <w:bookmarkStart w:id="70" w:name="ref-Worrall1986"/>
      <w:bookmarkEnd w:id="69"/>
      <w:r>
        <w:t>Worrall, W.E. 1986. Clays and ceramic raw materials. Elsevier Applied Science Publishers, New York, NY.</w:t>
      </w:r>
    </w:p>
    <w:bookmarkEnd w:id="70"/>
    <w:bookmarkEnd w:id="45"/>
    <w:bookmarkEnd w:id="42"/>
    <w:sectPr w:rsidR="007070AB" w:rsidSect="00C2536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FD25" w14:textId="77777777" w:rsidR="00000000" w:rsidRDefault="006A0459">
      <w:pPr>
        <w:spacing w:after="0"/>
      </w:pPr>
      <w:r>
        <w:separator/>
      </w:r>
    </w:p>
  </w:endnote>
  <w:endnote w:type="continuationSeparator" w:id="0">
    <w:p w14:paraId="6E435179" w14:textId="77777777" w:rsidR="00000000" w:rsidRDefault="006A04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28261" w14:textId="77777777" w:rsidR="007070AB" w:rsidRDefault="006A0459">
      <w:r>
        <w:separator/>
      </w:r>
    </w:p>
  </w:footnote>
  <w:footnote w:type="continuationSeparator" w:id="0">
    <w:p w14:paraId="049F31CB" w14:textId="77777777" w:rsidR="007070AB" w:rsidRDefault="006A0459">
      <w:r>
        <w:continuationSeparator/>
      </w:r>
    </w:p>
  </w:footnote>
  <w:footnote w:id="1">
    <w:p w14:paraId="43A11557" w14:textId="77777777" w:rsidR="007070AB" w:rsidRDefault="006A0459">
      <w:pPr>
        <w:pStyle w:val="FootnoteText"/>
      </w:pPr>
      <w:r>
        <w:rPr>
          <w:rStyle w:val="FootnoteReference"/>
        </w:rPr>
        <w:footnoteRef/>
      </w:r>
      <w:r>
        <w:t xml:space="preserve"> </w:t>
      </w:r>
      <w:r>
        <w:t>The AC ultimately became the popular Unified Soil Classification System (USCS).</w:t>
      </w:r>
    </w:p>
  </w:footnote>
  <w:footnote w:id="2">
    <w:p w14:paraId="517F6E6C" w14:textId="77777777" w:rsidR="007070AB" w:rsidRDefault="006A0459">
      <w:pPr>
        <w:pStyle w:val="FootnoteText"/>
      </w:pPr>
      <w:r>
        <w:rPr>
          <w:rStyle w:val="FootnoteReference"/>
        </w:rPr>
        <w:footnoteRef/>
      </w:r>
      <w:r>
        <w:t xml:space="preserve"> Note that because </w:t>
      </w:r>
      <m:oMath>
        <m:sSub>
          <m:sSubPr>
            <m:ctrlPr>
              <w:rPr>
                <w:rFonts w:ascii="Cambria Math" w:hAnsi="Cambria Math"/>
              </w:rPr>
            </m:ctrlPr>
          </m:sSubPr>
          <m:e>
            <m:r>
              <w:rPr>
                <w:rFonts w:ascii="Cambria Math" w:hAnsi="Cambria Math"/>
              </w:rPr>
              <m:t>S</m:t>
            </m:r>
          </m:e>
          <m:sub>
            <m:r>
              <w:rPr>
                <w:rFonts w:ascii="Cambria Math" w:hAnsi="Cambria Math"/>
              </w:rPr>
              <m:t>sand</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clay</m:t>
            </m:r>
          </m:sub>
        </m:sSub>
      </m:oMath>
      <w:r>
        <w:t xml:space="preserve"> are referenced to different soils, </w:t>
      </w:r>
      <m:oMath>
        <m:sSub>
          <m:sSubPr>
            <m:ctrlPr>
              <w:rPr>
                <w:rFonts w:ascii="Cambria Math" w:hAnsi="Cambria Math"/>
              </w:rPr>
            </m:ctrlPr>
          </m:sSubPr>
          <m:e>
            <m:r>
              <w:rPr>
                <w:rFonts w:ascii="Cambria Math" w:hAnsi="Cambria Math"/>
              </w:rPr>
              <m:t>S</m:t>
            </m:r>
          </m:e>
          <m:sub>
            <m:r>
              <w:rPr>
                <w:rFonts w:ascii="Cambria Math" w:hAnsi="Cambria Math"/>
              </w:rPr>
              <m:t>sand</m:t>
            </m:r>
          </m:sub>
        </m:sSub>
        <m:r>
          <w:rPr>
            <w:rFonts w:ascii="Cambria Math" w:hAnsi="Cambria Math"/>
          </w:rPr>
          <m:t> </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clay</m:t>
            </m:r>
          </m:sub>
        </m:sSub>
        <m:r>
          <w:rPr>
            <w:rFonts w:ascii="Cambria Math" w:hAnsi="Cambria Math"/>
          </w:rPr>
          <m:t> ≠ </m:t>
        </m:r>
        <m:sSub>
          <m:sSubPr>
            <m:ctrlPr>
              <w:rPr>
                <w:rFonts w:ascii="Cambria Math" w:hAnsi="Cambria Math"/>
              </w:rPr>
            </m:ctrlPr>
          </m:sSubPr>
          <m:e>
            <m:r>
              <w:rPr>
                <w:rFonts w:ascii="Cambria Math" w:hAnsi="Cambria Math"/>
              </w:rPr>
              <m:t>S</m:t>
            </m:r>
          </m:e>
          <m:sub>
            <m:r>
              <w:rPr>
                <w:rFonts w:ascii="Cambria Math" w:hAnsi="Cambria Math"/>
              </w:rPr>
              <m:t>final</m:t>
            </m:r>
          </m:sub>
        </m:sSub>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B0A16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DB8794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F7AD5E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28DF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A84B6A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EFA449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31C65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E449D7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642F0F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1FED0E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36A83F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136091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6A0459"/>
    <w:rsid w:val="007070AB"/>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B7658BC"/>
  <w15:docId w15:val="{3059EED1-7125-40EA-8E08-C2C06CB4F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B0A96"/>
    <w:pPr>
      <w:keepNext/>
      <w:keepLines/>
      <w:spacing w:before="480" w:after="0"/>
      <w:outlineLvl w:val="0"/>
    </w:pPr>
    <w:rPr>
      <w:rFonts w:ascii="Roboto" w:eastAsiaTheme="majorEastAsia" w:hAnsi="Roboto" w:cstheme="majorBidi"/>
      <w:color w:val="365F91" w:themeColor="accent1" w:themeShade="BF"/>
      <w:sz w:val="26"/>
      <w:szCs w:val="26"/>
    </w:rPr>
  </w:style>
  <w:style w:type="paragraph" w:styleId="Heading2">
    <w:name w:val="heading 2"/>
    <w:basedOn w:val="Normal"/>
    <w:next w:val="BodyText"/>
    <w:uiPriority w:val="9"/>
    <w:unhideWhenUsed/>
    <w:qFormat/>
    <w:rsid w:val="000B2D17"/>
    <w:pPr>
      <w:keepNext/>
      <w:keepLines/>
      <w:spacing w:before="200" w:after="0"/>
      <w:outlineLvl w:val="1"/>
    </w:pPr>
    <w:rPr>
      <w:rFonts w:ascii="Roboto" w:eastAsiaTheme="majorEastAsia" w:hAnsi="Roboto" w:cstheme="majorBidi"/>
      <w:color w:val="4F81BD" w:themeColor="accent1"/>
    </w:rPr>
  </w:style>
  <w:style w:type="paragraph" w:styleId="Heading3">
    <w:name w:val="heading 3"/>
    <w:basedOn w:val="Normal"/>
    <w:next w:val="BodyText"/>
    <w:uiPriority w:val="9"/>
    <w:unhideWhenUsed/>
    <w:qFormat/>
    <w:rsid w:val="000B2D17"/>
    <w:pPr>
      <w:keepNext/>
      <w:keepLines/>
      <w:spacing w:before="200" w:after="0"/>
      <w:outlineLvl w:val="2"/>
    </w:pPr>
    <w:rPr>
      <w:rFonts w:asciiTheme="majorHAnsi" w:eastAsiaTheme="majorEastAsia" w:hAnsiTheme="majorHAnsi" w:cstheme="majorBidi"/>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C441E"/>
    <w:pPr>
      <w:spacing w:before="180" w:after="180" w:line="360" w:lineRule="auto"/>
    </w:pPr>
    <w:rPr>
      <w:rFonts w:ascii="Roboto" w:hAnsi="Roboto"/>
      <w:color w:val="404040" w:themeColor="text1" w:themeTint="BF"/>
      <w:sz w:val="21"/>
      <w:szCs w:val="21"/>
    </w:rPr>
  </w:style>
  <w:style w:type="paragraph" w:customStyle="1" w:styleId="FirstParagraph">
    <w:name w:val="First Paragraph"/>
    <w:basedOn w:val="BodyText"/>
    <w:next w:val="BodyText"/>
    <w:qFormat/>
    <w:rsid w:val="00A81426"/>
  </w:style>
  <w:style w:type="paragraph" w:customStyle="1" w:styleId="Compact">
    <w:name w:val="Compact"/>
    <w:basedOn w:val="BodyText"/>
    <w:qFormat/>
    <w:pPr>
      <w:spacing w:before="36" w:after="36"/>
    </w:pPr>
  </w:style>
  <w:style w:type="paragraph" w:styleId="Title">
    <w:name w:val="Title"/>
    <w:basedOn w:val="Normal"/>
    <w:next w:val="BodyText"/>
    <w:qFormat/>
    <w:rsid w:val="00A81426"/>
    <w:pPr>
      <w:keepNext/>
      <w:keepLines/>
      <w:spacing w:before="480" w:after="240"/>
      <w:jc w:val="center"/>
    </w:pPr>
    <w:rPr>
      <w:rFonts w:ascii="Roboto" w:eastAsiaTheme="majorEastAsia" w:hAnsi="Roboto" w:cstheme="majorBidi"/>
      <w:b/>
      <w:bCs/>
      <w:color w:val="345A8A" w:themeColor="accent1" w:themeShade="B5"/>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A81426"/>
    <w:pPr>
      <w:keepNext/>
      <w:keepLines/>
      <w:jc w:val="center"/>
    </w:pPr>
    <w:rPr>
      <w:rFonts w:ascii="Lucida Console" w:hAnsi="Lucida Console"/>
      <w:sz w:val="20"/>
      <w:szCs w:val="20"/>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8F0CF0"/>
    <w:rPr>
      <w:rFonts w:ascii="Roboto" w:hAnsi="Roboto"/>
      <w:sz w:val="21"/>
      <w:szCs w:val="21"/>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15ECC"/>
    <w:rPr>
      <w:rFonts w:ascii="Roboto" w:hAnsi="Roboto"/>
      <w:color w:val="808080" w:themeColor="background1" w:themeShade="80"/>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E7E75"/>
    <w:rPr>
      <w:rFonts w:ascii="Roboto" w:hAnsi="Roboto"/>
      <w:i w:val="0"/>
      <w:iCs/>
      <w:color w:val="7F7F7F" w:themeColor="text1" w:themeTint="80"/>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D0F81"/>
    <w:rPr>
      <w:color w:val="auto"/>
    </w:rPr>
  </w:style>
  <w:style w:type="paragraph" w:styleId="TOCHeading">
    <w:name w:val="TOC Heading"/>
    <w:basedOn w:val="Heading1"/>
    <w:next w:val="BodyText"/>
    <w:uiPriority w:val="39"/>
    <w:unhideWhenUsed/>
    <w:qFormat/>
    <w:rsid w:val="00180F00"/>
    <w:pPr>
      <w:spacing w:before="240" w:line="259" w:lineRule="auto"/>
      <w:outlineLvl w:val="9"/>
    </w:pPr>
    <w:rPr>
      <w:rFonts w:asciiTheme="majorHAnsi" w:hAnsiTheme="majorHAnsi"/>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180F00"/>
    <w:pPr>
      <w:tabs>
        <w:tab w:val="right" w:leader="dot" w:pos="9350"/>
      </w:tabs>
      <w:spacing w:after="100"/>
    </w:pPr>
    <w:rPr>
      <w:rFonts w:ascii="Roboto" w:hAnsi="Roboto"/>
      <w:noProof/>
      <w:color w:val="365F91" w:themeColor="accent1" w:themeShade="BF"/>
      <w:sz w:val="22"/>
    </w:rPr>
  </w:style>
  <w:style w:type="paragraph" w:styleId="TOC2">
    <w:name w:val="toc 2"/>
    <w:basedOn w:val="Normal"/>
    <w:next w:val="Normal"/>
    <w:autoRedefine/>
    <w:uiPriority w:val="39"/>
    <w:unhideWhenUsed/>
    <w:rsid w:val="00F55144"/>
    <w:pPr>
      <w:tabs>
        <w:tab w:val="right" w:leader="dot" w:pos="9350"/>
      </w:tabs>
      <w:spacing w:after="100"/>
      <w:ind w:left="240"/>
    </w:pPr>
    <w:rPr>
      <w:rFonts w:ascii="Roboto" w:hAnsi="Roboto"/>
      <w:noProof/>
      <w:sz w:val="20"/>
    </w:rPr>
  </w:style>
  <w:style w:type="paragraph" w:styleId="TOC3">
    <w:name w:val="toc 3"/>
    <w:basedOn w:val="Normal"/>
    <w:next w:val="Normal"/>
    <w:autoRedefine/>
    <w:uiPriority w:val="39"/>
    <w:unhideWhenUsed/>
    <w:rsid w:val="00F55144"/>
    <w:pPr>
      <w:spacing w:after="100"/>
      <w:ind w:left="480"/>
    </w:pPr>
    <w:rPr>
      <w:sz w:val="19"/>
    </w:rPr>
  </w:style>
  <w:style w:type="character" w:styleId="UnresolvedMention">
    <w:name w:val="Unresolved Mention"/>
    <w:basedOn w:val="DefaultParagraphFont"/>
    <w:uiPriority w:val="99"/>
    <w:semiHidden/>
    <w:unhideWhenUsed/>
    <w:rsid w:val="00A81426"/>
    <w:rPr>
      <w:color w:val="605E5C"/>
      <w:shd w:val="clear" w:color="auto" w:fill="E1DFDD"/>
    </w:rPr>
  </w:style>
  <w:style w:type="character" w:customStyle="1" w:styleId="BodyTextChar">
    <w:name w:val="Body Text Char"/>
    <w:basedOn w:val="DefaultParagraphFont"/>
    <w:link w:val="BodyText"/>
    <w:rsid w:val="009C441E"/>
    <w:rPr>
      <w:rFonts w:ascii="Roboto" w:hAnsi="Roboto"/>
      <w:color w:val="404040" w:themeColor="text1" w:themeTint="BF"/>
      <w:sz w:val="21"/>
      <w:szCs w:val="21"/>
    </w:rPr>
  </w:style>
  <w:style w:type="character" w:styleId="SmartHyperlink">
    <w:name w:val="Smart Hyperlink"/>
    <w:basedOn w:val="DefaultParagraphFont"/>
    <w:uiPriority w:val="99"/>
    <w:semiHidden/>
    <w:unhideWhenUsed/>
    <w:rsid w:val="00F55144"/>
    <w:rPr>
      <w:rFonts w:ascii="Roboto" w:hAnsi="Roboto"/>
      <w:u w:val="dotted"/>
    </w:rPr>
  </w:style>
  <w:style w:type="character" w:styleId="LineNumber">
    <w:name w:val="line number"/>
    <w:basedOn w:val="DefaultParagraphFont"/>
    <w:semiHidden/>
    <w:unhideWhenUsed/>
    <w:qFormat/>
    <w:rsid w:val="00C25361"/>
    <w:rPr>
      <w:rFonts w:asciiTheme="minorHAnsi" w:hAnsiTheme="minorHAnsi"/>
      <w:color w:val="F2F2F2" w:themeColor="background1" w:themeShade="F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180/claymin.1966.006.3.05"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escholar.manchester.ac.uk/api/datastream?publicationPid=uk-ac-man-scw:212752&amp;datastreamId=FULL-TEXT.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portsturfonline.com/2012/03/14/setting-a-realistic-standard-for-infield-mixes-opinions-from-the-experts/46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520/D4318-17E01."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520/F1815-11.2" TargetMode="External"/><Relationship Id="rId28" Type="http://schemas.openxmlformats.org/officeDocument/2006/relationships/hyperlink" Target="https://doi.org/10.1002/saj2.2000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stma.org/wp-content/uploads/2017/11/65d68a00-150d-457e-8708-dcb12717eecc.pdf" TargetMode="External"/><Relationship Id="rId27" Type="http://schemas.openxmlformats.org/officeDocument/2006/relationships/hyperlink" Target="https://doi.org/10.1016/j.clay.2018.04.011" TargetMode="External"/><Relationship Id="rId30" Type="http://schemas.openxmlformats.org/officeDocument/2006/relationships/hyperlink" Target="https://doi.org/10.1520/gtj10521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6308</Words>
  <Characters>35956</Characters>
  <Application>Microsoft Office Word</Application>
  <DocSecurity>0</DocSecurity>
  <Lines>299</Lines>
  <Paragraphs>84</Paragraphs>
  <ScaleCrop>false</ScaleCrop>
  <Company/>
  <LinksUpToDate>false</LinksUpToDate>
  <CharactersWithSpaces>42180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over-size particles on the Atterberg limits of sand-clay mixtures</dc:title>
  <dc:creator/>
  <cp:keywords/>
  <cp:lastModifiedBy>Guest User</cp:lastModifiedBy>
  <cp:revision>1</cp:revision>
  <dcterms:created xsi:type="dcterms:W3CDTF">2021-10-13T11:46:00Z</dcterms:created>
  <dcterms:modified xsi:type="dcterms:W3CDTF">2021-10-13T11:46:00Z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soil-science-society-of-america-journal.csl</vt:lpwstr>
  </property>
  <property fmtid="{D5CDD505-2E9C-101B-9397-08002B2CF9AE}" pid="4" name="date">
    <vt:lpwstr>last compiled Wed. 2021-10-13, 7:39 AM</vt:lpwstr>
  </property>
  <property fmtid="{D5CDD505-2E9C-101B-9397-08002B2CF9AE}" pid="5" name="linestretch">
    <vt:lpwstr>1.5</vt:lpwstr>
  </property>
  <property fmtid="{D5CDD505-2E9C-101B-9397-08002B2CF9AE}" pid="6" name="link-citations">
    <vt:lpwstr>yes</vt:lpwstr>
  </property>
  <property fmtid="{D5CDD505-2E9C-101B-9397-08002B2CF9AE}" pid="7" name="links-as-notes">
    <vt:lpwstr>no</vt:lpwstr>
  </property>
  <property fmtid="{D5CDD505-2E9C-101B-9397-08002B2CF9AE}" pid="8" name="mainfont">
    <vt:lpwstr>Roboto</vt:lpwstr>
  </property>
  <property fmtid="{D5CDD505-2E9C-101B-9397-08002B2CF9AE}" pid="9" name="mathfont">
    <vt:lpwstr>Fira Math Regular</vt:lpwstr>
  </property>
  <property fmtid="{D5CDD505-2E9C-101B-9397-08002B2CF9AE}" pid="10" name="output">
    <vt:lpwstr/>
  </property>
  <property fmtid="{D5CDD505-2E9C-101B-9397-08002B2CF9AE}" pid="11" name="papersize">
    <vt:lpwstr>letter</vt:lpwstr>
  </property>
  <property fmtid="{D5CDD505-2E9C-101B-9397-08002B2CF9AE}" pid="12" name="toc">
    <vt:lpwstr>no</vt:lpwstr>
  </property>
</Properties>
</file>